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C4B" w:rsidRDefault="007A0E3A" w:rsidP="00054E0A">
      <w:pPr>
        <w:pStyle w:val="NoSpacing"/>
        <w:jc w:val="both"/>
        <w:rPr>
          <w:rFonts w:eastAsia="Times New Roman" w:cs="Arial"/>
          <w:b/>
          <w:bCs/>
          <w:szCs w:val="24"/>
        </w:rPr>
      </w:pPr>
    </w:p>
    <w:p w:rsidR="00054E0A" w:rsidRDefault="0098705E" w:rsidP="00054E0A">
      <w:pPr>
        <w:pStyle w:val="NoSpacing"/>
        <w:jc w:val="both"/>
        <w:rPr>
          <w:rFonts w:eastAsia="Times New Roman" w:cs="Arial"/>
          <w:b/>
          <w:bCs/>
          <w:szCs w:val="24"/>
        </w:rPr>
      </w:pPr>
      <w:r>
        <w:rPr>
          <w:rFonts w:eastAsia="Times New Roman" w:cs="Arial"/>
          <w:b/>
          <w:bCs/>
          <w:szCs w:val="24"/>
        </w:rPr>
        <w:t>CITY DEAL EXECUTIVE AND STEWARDSHIP BOARD</w:t>
      </w:r>
    </w:p>
    <w:p w:rsidR="00D3134F" w:rsidRPr="00D3134F" w:rsidRDefault="007A0E3A" w:rsidP="00D3134F">
      <w:pPr>
        <w:spacing w:after="0" w:line="240" w:lineRule="auto"/>
        <w:rPr>
          <w:rFonts w:ascii="Arial" w:hAnsi="Arial" w:cs="Arial"/>
          <w:b/>
          <w:bCs/>
          <w:sz w:val="24"/>
          <w:szCs w:val="24"/>
        </w:rPr>
      </w:pPr>
    </w:p>
    <w:p w:rsidR="00D3134F" w:rsidRPr="00D3134F" w:rsidRDefault="0098705E" w:rsidP="00D3134F">
      <w:pPr>
        <w:spacing w:after="0" w:line="240" w:lineRule="auto"/>
        <w:rPr>
          <w:rFonts w:ascii="Arial" w:hAnsi="Arial" w:cs="Arial"/>
          <w:b/>
          <w:bCs/>
          <w:sz w:val="24"/>
          <w:szCs w:val="24"/>
        </w:rPr>
      </w:pPr>
      <w:r w:rsidRPr="00D3134F">
        <w:rPr>
          <w:rFonts w:ascii="Arial" w:hAnsi="Arial" w:cs="Arial"/>
          <w:b/>
          <w:sz w:val="24"/>
          <w:szCs w:val="24"/>
        </w:rPr>
        <w:t xml:space="preserve">Private and Confidential: </w:t>
      </w:r>
      <w:r>
        <w:rPr>
          <w:rFonts w:ascii="Arial" w:hAnsi="Arial" w:cs="Arial"/>
          <w:b/>
          <w:sz w:val="24"/>
          <w:szCs w:val="24"/>
        </w:rPr>
        <w:t>No</w:t>
      </w:r>
    </w:p>
    <w:p w:rsidR="00D3134F" w:rsidRPr="00D3134F" w:rsidRDefault="007A0E3A" w:rsidP="00D3134F">
      <w:pPr>
        <w:spacing w:after="0" w:line="240" w:lineRule="auto"/>
        <w:rPr>
          <w:rFonts w:ascii="Arial" w:hAnsi="Arial" w:cs="Arial"/>
          <w:sz w:val="24"/>
          <w:szCs w:val="24"/>
        </w:rPr>
      </w:pPr>
    </w:p>
    <w:p w:rsidR="00D3134F" w:rsidRPr="00D3134F" w:rsidRDefault="0098705E" w:rsidP="00D3134F">
      <w:pPr>
        <w:spacing w:after="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DOCPROPERTY  MeetingDate  \* MERGEFORMAT </w:instrText>
      </w:r>
      <w:r>
        <w:rPr>
          <w:rFonts w:ascii="Arial" w:hAnsi="Arial" w:cs="Arial"/>
          <w:sz w:val="24"/>
          <w:szCs w:val="24"/>
        </w:rPr>
        <w:fldChar w:fldCharType="separate"/>
      </w:r>
      <w:r>
        <w:rPr>
          <w:rFonts w:ascii="Arial" w:hAnsi="Arial" w:cs="Arial"/>
          <w:sz w:val="24"/>
          <w:szCs w:val="24"/>
        </w:rPr>
        <w:t>Monday, 19 February 2018</w:t>
      </w:r>
      <w:r>
        <w:rPr>
          <w:rFonts w:ascii="Arial" w:hAnsi="Arial" w:cs="Arial"/>
          <w:sz w:val="24"/>
          <w:szCs w:val="24"/>
        </w:rPr>
        <w:fldChar w:fldCharType="end"/>
      </w:r>
    </w:p>
    <w:p w:rsidR="00D3134F" w:rsidRPr="00D3134F" w:rsidRDefault="007A0E3A" w:rsidP="00D3134F">
      <w:pPr>
        <w:spacing w:after="0" w:line="240" w:lineRule="auto"/>
        <w:rPr>
          <w:rFonts w:ascii="Arial" w:hAnsi="Arial" w:cs="Arial"/>
          <w:sz w:val="24"/>
          <w:szCs w:val="24"/>
        </w:rPr>
      </w:pPr>
    </w:p>
    <w:p w:rsidR="00D3134F" w:rsidRPr="00D3134F" w:rsidRDefault="0098705E" w:rsidP="00D3134F">
      <w:pPr>
        <w:spacing w:after="0" w:line="240" w:lineRule="auto"/>
        <w:rPr>
          <w:rFonts w:ascii="Arial" w:eastAsia="Times New Roman" w:hAnsi="Arial" w:cs="Arial"/>
          <w:b/>
          <w:sz w:val="24"/>
          <w:szCs w:val="24"/>
        </w:rPr>
      </w:pPr>
      <w:r>
        <w:rPr>
          <w:rFonts w:ascii="Arial" w:eastAsia="Times New Roman" w:hAnsi="Arial" w:cs="Arial"/>
          <w:b/>
          <w:sz w:val="24"/>
          <w:szCs w:val="24"/>
        </w:rPr>
        <w:fldChar w:fldCharType="begin"/>
      </w:r>
      <w:r>
        <w:rPr>
          <w:rFonts w:ascii="Arial" w:eastAsia="Times New Roman" w:hAnsi="Arial" w:cs="Arial"/>
          <w:b/>
          <w:sz w:val="24"/>
          <w:szCs w:val="24"/>
        </w:rPr>
        <w:instrText xml:space="preserve"> DOCPROPERTY  IssueTitle  \* MERGEFORMAT </w:instrText>
      </w:r>
      <w:r>
        <w:rPr>
          <w:rFonts w:ascii="Arial" w:eastAsia="Times New Roman" w:hAnsi="Arial" w:cs="Arial"/>
          <w:b/>
          <w:sz w:val="24"/>
          <w:szCs w:val="24"/>
        </w:rPr>
        <w:fldChar w:fldCharType="separate"/>
      </w:r>
      <w:r>
        <w:rPr>
          <w:rFonts w:ascii="Arial" w:eastAsia="Times New Roman" w:hAnsi="Arial" w:cs="Arial"/>
          <w:b/>
          <w:sz w:val="24"/>
          <w:szCs w:val="24"/>
        </w:rPr>
        <w:t>Preston Western Distributor (including Cottam Link Road) and East West Link Road</w:t>
      </w:r>
      <w:r>
        <w:rPr>
          <w:rFonts w:ascii="Arial" w:eastAsia="Times New Roman" w:hAnsi="Arial" w:cs="Arial"/>
          <w:b/>
          <w:sz w:val="24"/>
          <w:szCs w:val="24"/>
        </w:rPr>
        <w:fldChar w:fldCharType="end"/>
      </w:r>
    </w:p>
    <w:p w:rsidR="00D3134F" w:rsidRPr="00D3134F" w:rsidRDefault="007A0E3A" w:rsidP="00D3134F">
      <w:pPr>
        <w:spacing w:after="0" w:line="240" w:lineRule="auto"/>
        <w:rPr>
          <w:rFonts w:ascii="Arial" w:hAnsi="Arial" w:cs="Arial"/>
          <w:sz w:val="24"/>
          <w:szCs w:val="24"/>
        </w:rPr>
      </w:pPr>
    </w:p>
    <w:p w:rsidR="0098705E" w:rsidRDefault="0098705E" w:rsidP="0098705E">
      <w:pPr>
        <w:spacing w:after="0"/>
        <w:ind w:right="-873"/>
        <w:jc w:val="both"/>
        <w:rPr>
          <w:rFonts w:ascii="Arial" w:hAnsi="Arial" w:cs="Arial"/>
          <w:sz w:val="24"/>
          <w:szCs w:val="24"/>
        </w:rPr>
      </w:pPr>
      <w:r w:rsidRPr="00D3134F">
        <w:rPr>
          <w:rFonts w:ascii="Arial" w:hAnsi="Arial" w:cs="Arial"/>
          <w:b/>
          <w:sz w:val="24"/>
          <w:szCs w:val="24"/>
        </w:rPr>
        <w:t>Report Author:</w:t>
      </w:r>
      <w:r>
        <w:rPr>
          <w:rFonts w:ascii="Arial" w:hAnsi="Arial" w:cs="Arial"/>
          <w:b/>
          <w:sz w:val="24"/>
          <w:szCs w:val="24"/>
        </w:rPr>
        <w:t xml:space="preserve"> </w:t>
      </w:r>
      <w:r w:rsidRPr="00286D58">
        <w:rPr>
          <w:rFonts w:ascii="Arial" w:hAnsi="Arial" w:cs="Arial"/>
          <w:sz w:val="24"/>
          <w:szCs w:val="24"/>
        </w:rPr>
        <w:t>Marcus Hudson</w:t>
      </w:r>
      <w:r>
        <w:rPr>
          <w:rFonts w:ascii="Arial" w:hAnsi="Arial" w:cs="Arial"/>
          <w:sz w:val="24"/>
          <w:szCs w:val="24"/>
        </w:rPr>
        <w:t>, Tel 01772 530696</w:t>
      </w:r>
    </w:p>
    <w:p w:rsidR="0098705E" w:rsidRPr="00286D58" w:rsidRDefault="0098705E" w:rsidP="0098705E">
      <w:pPr>
        <w:spacing w:after="0"/>
        <w:ind w:right="-873"/>
        <w:jc w:val="both"/>
        <w:rPr>
          <w:rFonts w:cs="Arial"/>
          <w:szCs w:val="24"/>
        </w:rPr>
      </w:pPr>
      <w:r>
        <w:rPr>
          <w:rFonts w:ascii="Arial" w:hAnsi="Arial" w:cs="Arial"/>
          <w:sz w:val="24"/>
          <w:szCs w:val="24"/>
        </w:rPr>
        <w:t>marcus.hudson@lancashire.gov.uk</w:t>
      </w:r>
    </w:p>
    <w:p w:rsidR="00D3134F" w:rsidRPr="00D3134F" w:rsidRDefault="007A0E3A" w:rsidP="00D3134F">
      <w:pPr>
        <w:spacing w:after="0" w:line="240" w:lineRule="auto"/>
        <w:rPr>
          <w:rFonts w:ascii="Arial" w:hAnsi="Arial"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C36B0" w:rsidTr="000B1F3A">
        <w:tc>
          <w:tcPr>
            <w:tcW w:w="9180" w:type="dxa"/>
          </w:tcPr>
          <w:p w:rsidR="00D3134F" w:rsidRPr="00D3134F" w:rsidRDefault="007A0E3A" w:rsidP="00D3134F">
            <w:pPr>
              <w:pStyle w:val="Header"/>
              <w:rPr>
                <w:rFonts w:ascii="Arial" w:hAnsi="Arial" w:cs="Arial"/>
                <w:sz w:val="24"/>
                <w:szCs w:val="24"/>
              </w:rPr>
            </w:pPr>
          </w:p>
          <w:p w:rsidR="00D3134F" w:rsidRPr="00D3134F" w:rsidRDefault="0098705E" w:rsidP="00D3134F">
            <w:pPr>
              <w:pStyle w:val="Heading6"/>
              <w:spacing w:before="0" w:line="240" w:lineRule="auto"/>
              <w:rPr>
                <w:rFonts w:ascii="Arial" w:hAnsi="Arial" w:cs="Arial"/>
                <w:b/>
                <w:color w:val="auto"/>
              </w:rPr>
            </w:pPr>
            <w:r w:rsidRPr="00D3134F">
              <w:rPr>
                <w:rFonts w:ascii="Arial" w:hAnsi="Arial" w:cs="Arial"/>
                <w:b/>
                <w:color w:val="auto"/>
              </w:rPr>
              <w:t>Executive Summary</w:t>
            </w:r>
          </w:p>
          <w:p w:rsidR="00D3134F" w:rsidRPr="00D3134F" w:rsidRDefault="007A0E3A" w:rsidP="00D3134F">
            <w:pPr>
              <w:spacing w:after="0" w:line="240" w:lineRule="auto"/>
              <w:rPr>
                <w:rFonts w:ascii="Arial" w:hAnsi="Arial" w:cs="Arial"/>
                <w:sz w:val="24"/>
                <w:szCs w:val="24"/>
              </w:rPr>
            </w:pPr>
          </w:p>
          <w:p w:rsidR="0098705E" w:rsidRDefault="0098705E" w:rsidP="0098705E">
            <w:pPr>
              <w:pStyle w:val="Heading5"/>
              <w:spacing w:before="0" w:line="276" w:lineRule="auto"/>
              <w:ind w:left="0" w:firstLine="0"/>
              <w:jc w:val="both"/>
              <w:rPr>
                <w:rFonts w:ascii="Arial" w:hAnsi="Arial" w:cs="Arial"/>
                <w:color w:val="000000" w:themeColor="text1"/>
              </w:rPr>
            </w:pPr>
            <w:r w:rsidRPr="00372455">
              <w:rPr>
                <w:rFonts w:ascii="Arial" w:hAnsi="Arial" w:cs="Arial"/>
                <w:color w:val="auto"/>
              </w:rPr>
              <w:t xml:space="preserve">This report </w:t>
            </w:r>
            <w:r>
              <w:rPr>
                <w:rFonts w:ascii="Arial" w:hAnsi="Arial" w:cs="Arial"/>
                <w:color w:val="auto"/>
              </w:rPr>
              <w:t>provides an update</w:t>
            </w:r>
            <w:r w:rsidRPr="00372455">
              <w:rPr>
                <w:rFonts w:ascii="Arial" w:hAnsi="Arial" w:cs="Arial"/>
                <w:color w:val="auto"/>
              </w:rPr>
              <w:t xml:space="preserve"> on </w:t>
            </w:r>
            <w:r>
              <w:rPr>
                <w:rFonts w:ascii="Arial" w:hAnsi="Arial" w:cs="Arial"/>
                <w:color w:val="auto"/>
              </w:rPr>
              <w:t xml:space="preserve">the Preston Western Distributor, East West Link Road and Cottam Link Road, a key City Deal scheme. It reports that several key milestones have been reached since the City Deal Executive and Stewardship Board met in late November 2017, firstly with the production of a second independent cost </w:t>
            </w:r>
            <w:r w:rsidRPr="004070DC">
              <w:rPr>
                <w:rFonts w:ascii="Arial" w:hAnsi="Arial" w:cs="Arial"/>
                <w:color w:val="auto"/>
              </w:rPr>
              <w:t xml:space="preserve">verification which confirmed the financial position </w:t>
            </w:r>
            <w:r>
              <w:rPr>
                <w:rFonts w:ascii="Arial" w:hAnsi="Arial" w:cs="Arial"/>
                <w:color w:val="auto"/>
              </w:rPr>
              <w:t xml:space="preserve">reported at that meeting </w:t>
            </w:r>
            <w:r w:rsidRPr="004070DC">
              <w:rPr>
                <w:rFonts w:ascii="Arial" w:hAnsi="Arial" w:cs="Arial"/>
                <w:color w:val="auto"/>
              </w:rPr>
              <w:t>as a reliable basis</w:t>
            </w:r>
            <w:r>
              <w:rPr>
                <w:rFonts w:ascii="Arial" w:hAnsi="Arial" w:cs="Arial"/>
                <w:color w:val="auto"/>
              </w:rPr>
              <w:t xml:space="preserve"> for subsequent</w:t>
            </w:r>
            <w:r w:rsidRPr="004070DC">
              <w:rPr>
                <w:rFonts w:ascii="Arial" w:hAnsi="Arial" w:cs="Arial"/>
                <w:color w:val="auto"/>
              </w:rPr>
              <w:t xml:space="preserve"> key stages</w:t>
            </w:r>
            <w:r>
              <w:rPr>
                <w:rFonts w:ascii="Arial" w:hAnsi="Arial" w:cs="Arial"/>
                <w:color w:val="auto"/>
              </w:rPr>
              <w:t xml:space="preserve">.  </w:t>
            </w:r>
            <w:r w:rsidRPr="0027524E">
              <w:rPr>
                <w:rFonts w:ascii="Arial" w:hAnsi="Arial" w:cs="Arial"/>
                <w:color w:val="000000" w:themeColor="text1"/>
              </w:rPr>
              <w:t>At its meeting on 10</w:t>
            </w:r>
            <w:r w:rsidRPr="0027524E">
              <w:rPr>
                <w:rFonts w:ascii="Arial" w:hAnsi="Arial" w:cs="Arial"/>
                <w:color w:val="000000" w:themeColor="text1"/>
                <w:vertAlign w:val="superscript"/>
              </w:rPr>
              <w:t>th</w:t>
            </w:r>
            <w:r w:rsidRPr="0027524E">
              <w:rPr>
                <w:rFonts w:ascii="Arial" w:hAnsi="Arial" w:cs="Arial"/>
                <w:color w:val="000000" w:themeColor="text1"/>
              </w:rPr>
              <w:t xml:space="preserve"> January 2018</w:t>
            </w:r>
            <w:r>
              <w:rPr>
                <w:rFonts w:ascii="Arial" w:hAnsi="Arial" w:cs="Arial"/>
                <w:color w:val="000000" w:themeColor="text1"/>
              </w:rPr>
              <w:t>, the Transport for Lancashire Committee recommended that the LEP Board grant the scheme Conditional Approval, which the Board did at its meeting on 30</w:t>
            </w:r>
            <w:r w:rsidRPr="009B6447">
              <w:rPr>
                <w:rFonts w:ascii="Arial" w:hAnsi="Arial" w:cs="Arial"/>
                <w:color w:val="000000" w:themeColor="text1"/>
                <w:vertAlign w:val="superscript"/>
              </w:rPr>
              <w:t>th</w:t>
            </w:r>
            <w:r>
              <w:rPr>
                <w:rFonts w:ascii="Arial" w:hAnsi="Arial" w:cs="Arial"/>
                <w:color w:val="000000" w:themeColor="text1"/>
              </w:rPr>
              <w:t xml:space="preserve"> January 2018.  With this conditional funding approval confirmed, the </w:t>
            </w:r>
            <w:r w:rsidRPr="00772671">
              <w:rPr>
                <w:rFonts w:ascii="Arial" w:hAnsi="Arial" w:cs="Arial"/>
                <w:color w:val="000000" w:themeColor="text1"/>
              </w:rPr>
              <w:t xml:space="preserve">County Council’s Cabinet </w:t>
            </w:r>
            <w:r>
              <w:rPr>
                <w:rFonts w:ascii="Arial" w:hAnsi="Arial" w:cs="Arial"/>
                <w:color w:val="000000" w:themeColor="text1"/>
              </w:rPr>
              <w:t xml:space="preserve">was able to </w:t>
            </w:r>
            <w:r w:rsidRPr="00772671">
              <w:rPr>
                <w:rFonts w:ascii="Arial" w:hAnsi="Arial" w:cs="Arial"/>
                <w:color w:val="000000" w:themeColor="text1"/>
              </w:rPr>
              <w:t>agree</w:t>
            </w:r>
            <w:r>
              <w:rPr>
                <w:rFonts w:ascii="Arial" w:hAnsi="Arial" w:cs="Arial"/>
                <w:color w:val="000000" w:themeColor="text1"/>
              </w:rPr>
              <w:t>, a</w:t>
            </w:r>
            <w:r w:rsidRPr="00772671">
              <w:rPr>
                <w:rFonts w:ascii="Arial" w:hAnsi="Arial" w:cs="Arial"/>
                <w:color w:val="000000" w:themeColor="text1"/>
              </w:rPr>
              <w:t>t its meeting on 1</w:t>
            </w:r>
            <w:r w:rsidRPr="00772671">
              <w:rPr>
                <w:rFonts w:ascii="Arial" w:hAnsi="Arial" w:cs="Arial"/>
                <w:color w:val="000000" w:themeColor="text1"/>
                <w:vertAlign w:val="superscript"/>
              </w:rPr>
              <w:t>st</w:t>
            </w:r>
            <w:r w:rsidRPr="00772671">
              <w:rPr>
                <w:rFonts w:ascii="Arial" w:hAnsi="Arial" w:cs="Arial"/>
                <w:color w:val="000000" w:themeColor="text1"/>
              </w:rPr>
              <w:t xml:space="preserve"> February 2018</w:t>
            </w:r>
            <w:r>
              <w:rPr>
                <w:rFonts w:ascii="Arial" w:hAnsi="Arial" w:cs="Arial"/>
                <w:color w:val="000000" w:themeColor="text1"/>
              </w:rPr>
              <w:t>,</w:t>
            </w:r>
            <w:r w:rsidRPr="00772671">
              <w:rPr>
                <w:rFonts w:ascii="Arial" w:hAnsi="Arial" w:cs="Arial"/>
                <w:color w:val="000000" w:themeColor="text1"/>
              </w:rPr>
              <w:t xml:space="preserve"> to make and advertise Side Roads and Compulsory Purchase Orders for land and rights, as well as changes to the existing highway network and two bridge schemes that will cross the Lancaster Canal and the Mille</w:t>
            </w:r>
            <w:r>
              <w:rPr>
                <w:rFonts w:ascii="Arial" w:hAnsi="Arial" w:cs="Arial"/>
                <w:color w:val="000000" w:themeColor="text1"/>
              </w:rPr>
              <w:t>n</w:t>
            </w:r>
            <w:r w:rsidRPr="00772671">
              <w:rPr>
                <w:rFonts w:ascii="Arial" w:hAnsi="Arial" w:cs="Arial"/>
                <w:color w:val="000000" w:themeColor="text1"/>
              </w:rPr>
              <w:t>nium Ribble Link.</w:t>
            </w:r>
            <w:r>
              <w:rPr>
                <w:rFonts w:ascii="Arial" w:hAnsi="Arial" w:cs="Arial"/>
                <w:color w:val="000000" w:themeColor="text1"/>
              </w:rPr>
              <w:t xml:space="preserve"> </w:t>
            </w:r>
          </w:p>
          <w:p w:rsidR="0098705E" w:rsidRDefault="0098705E" w:rsidP="0098705E">
            <w:pPr>
              <w:pStyle w:val="Heading5"/>
              <w:spacing w:before="0" w:line="276" w:lineRule="auto"/>
              <w:ind w:left="0" w:firstLine="0"/>
              <w:jc w:val="both"/>
              <w:rPr>
                <w:rFonts w:ascii="Arial" w:hAnsi="Arial" w:cs="Arial"/>
                <w:color w:val="000000" w:themeColor="text1"/>
              </w:rPr>
            </w:pPr>
          </w:p>
          <w:p w:rsidR="0098705E" w:rsidRPr="004070DC" w:rsidRDefault="0098705E" w:rsidP="0098705E">
            <w:pPr>
              <w:pStyle w:val="Heading5"/>
              <w:spacing w:before="0" w:line="276" w:lineRule="auto"/>
              <w:ind w:left="0" w:firstLine="0"/>
              <w:jc w:val="both"/>
              <w:rPr>
                <w:rFonts w:ascii="Arial" w:hAnsi="Arial" w:cs="Arial"/>
                <w:color w:val="auto"/>
              </w:rPr>
            </w:pPr>
            <w:r>
              <w:rPr>
                <w:rFonts w:ascii="Arial" w:hAnsi="Arial" w:cs="Arial"/>
                <w:color w:val="000000" w:themeColor="text1"/>
              </w:rPr>
              <w:t>The report presents a programme of work which considers forthcoming key milestones anticipated to take us to a start to construction by the end of 2019.</w:t>
            </w:r>
          </w:p>
          <w:p w:rsidR="00D3134F" w:rsidRPr="00D3134F" w:rsidRDefault="007A0E3A" w:rsidP="00D3134F">
            <w:pPr>
              <w:spacing w:after="0" w:line="240" w:lineRule="auto"/>
              <w:rPr>
                <w:rFonts w:ascii="Arial" w:hAnsi="Arial" w:cs="Arial"/>
                <w:sz w:val="24"/>
                <w:szCs w:val="24"/>
              </w:rPr>
            </w:pPr>
          </w:p>
          <w:p w:rsidR="00D3134F" w:rsidRPr="00D3134F" w:rsidRDefault="0098705E" w:rsidP="00D3134F">
            <w:pPr>
              <w:pStyle w:val="Heading5"/>
              <w:spacing w:before="0" w:line="240" w:lineRule="auto"/>
              <w:rPr>
                <w:rFonts w:ascii="Arial" w:hAnsi="Arial" w:cs="Arial"/>
                <w:b/>
                <w:color w:val="auto"/>
              </w:rPr>
            </w:pPr>
            <w:r w:rsidRPr="00D3134F">
              <w:rPr>
                <w:rFonts w:ascii="Arial" w:hAnsi="Arial" w:cs="Arial"/>
                <w:b/>
                <w:color w:val="auto"/>
              </w:rPr>
              <w:t>Recommendation</w:t>
            </w:r>
          </w:p>
          <w:p w:rsidR="00D3134F" w:rsidRPr="00D3134F" w:rsidRDefault="007A0E3A" w:rsidP="00D3134F">
            <w:pPr>
              <w:spacing w:after="0" w:line="240" w:lineRule="auto"/>
              <w:rPr>
                <w:rFonts w:ascii="Arial" w:hAnsi="Arial" w:cs="Arial"/>
                <w:sz w:val="24"/>
                <w:szCs w:val="24"/>
              </w:rPr>
            </w:pPr>
          </w:p>
          <w:p w:rsidR="00D3134F" w:rsidRPr="00D3134F" w:rsidRDefault="0098705E" w:rsidP="00D3134F">
            <w:pPr>
              <w:spacing w:after="0" w:line="240" w:lineRule="auto"/>
              <w:rPr>
                <w:rFonts w:ascii="Arial" w:hAnsi="Arial" w:cs="Arial"/>
                <w:sz w:val="24"/>
                <w:szCs w:val="24"/>
              </w:rPr>
            </w:pPr>
            <w:r w:rsidRPr="006B0314">
              <w:rPr>
                <w:rFonts w:ascii="Arial" w:hAnsi="Arial" w:cs="Arial"/>
                <w:sz w:val="24"/>
                <w:szCs w:val="24"/>
              </w:rPr>
              <w:t xml:space="preserve">The City Deal Executive and Stewardship Board </w:t>
            </w:r>
            <w:r>
              <w:rPr>
                <w:rFonts w:ascii="Arial" w:hAnsi="Arial" w:cs="Arial"/>
                <w:sz w:val="24"/>
                <w:szCs w:val="24"/>
              </w:rPr>
              <w:t>is asked to note the report.</w:t>
            </w:r>
          </w:p>
          <w:p w:rsidR="00D3134F" w:rsidRPr="00D3134F" w:rsidRDefault="007A0E3A" w:rsidP="00D3134F">
            <w:pPr>
              <w:spacing w:after="0" w:line="240" w:lineRule="auto"/>
              <w:rPr>
                <w:rFonts w:ascii="Arial" w:hAnsi="Arial" w:cs="Arial"/>
                <w:sz w:val="24"/>
                <w:szCs w:val="24"/>
              </w:rPr>
            </w:pPr>
          </w:p>
        </w:tc>
      </w:tr>
    </w:tbl>
    <w:p w:rsidR="00D3134F" w:rsidRPr="00D3134F" w:rsidRDefault="007A0E3A" w:rsidP="00D3134F">
      <w:pPr>
        <w:pStyle w:val="Header"/>
        <w:rPr>
          <w:rFonts w:ascii="Arial" w:hAnsi="Arial" w:cs="Arial"/>
          <w:sz w:val="24"/>
          <w:szCs w:val="24"/>
        </w:rPr>
      </w:pPr>
    </w:p>
    <w:p w:rsidR="00D3134F" w:rsidRPr="00D3134F" w:rsidRDefault="007A0E3A" w:rsidP="00D3134F">
      <w:pPr>
        <w:spacing w:after="0" w:line="240" w:lineRule="auto"/>
        <w:rPr>
          <w:rFonts w:ascii="Arial" w:hAnsi="Arial" w:cs="Arial"/>
          <w:b/>
          <w:sz w:val="24"/>
          <w:szCs w:val="24"/>
        </w:rPr>
      </w:pPr>
    </w:p>
    <w:p w:rsidR="0098705E" w:rsidRDefault="0098705E" w:rsidP="0098705E">
      <w:pPr>
        <w:spacing w:after="0"/>
        <w:jc w:val="both"/>
        <w:rPr>
          <w:rFonts w:ascii="Arial" w:hAnsi="Arial" w:cs="Arial"/>
          <w:b/>
          <w:sz w:val="24"/>
          <w:szCs w:val="24"/>
        </w:rPr>
      </w:pPr>
      <w:r w:rsidRPr="00D3134F">
        <w:rPr>
          <w:rFonts w:ascii="Arial" w:hAnsi="Arial" w:cs="Arial"/>
          <w:b/>
          <w:sz w:val="24"/>
          <w:szCs w:val="24"/>
        </w:rPr>
        <w:t xml:space="preserve">Background and Advice </w:t>
      </w:r>
    </w:p>
    <w:p w:rsidR="0098705E" w:rsidRDefault="0098705E" w:rsidP="0098705E">
      <w:pPr>
        <w:spacing w:after="0"/>
        <w:jc w:val="both"/>
        <w:rPr>
          <w:rFonts w:ascii="Arial" w:hAnsi="Arial" w:cs="Arial"/>
          <w:b/>
          <w:sz w:val="24"/>
          <w:szCs w:val="24"/>
        </w:rPr>
      </w:pPr>
    </w:p>
    <w:p w:rsidR="0098705E" w:rsidRPr="0027524E" w:rsidRDefault="0098705E" w:rsidP="0098705E">
      <w:pPr>
        <w:pStyle w:val="ListParagraph"/>
        <w:numPr>
          <w:ilvl w:val="1"/>
          <w:numId w:val="5"/>
        </w:numPr>
        <w:spacing w:after="0"/>
        <w:jc w:val="both"/>
        <w:rPr>
          <w:rFonts w:ascii="Arial" w:hAnsi="Arial" w:cs="Arial"/>
          <w:color w:val="000000" w:themeColor="text1"/>
          <w:sz w:val="24"/>
          <w:szCs w:val="24"/>
        </w:rPr>
      </w:pPr>
      <w:r w:rsidRPr="006E78DB">
        <w:rPr>
          <w:rFonts w:ascii="Arial" w:hAnsi="Arial" w:cs="Arial"/>
          <w:sz w:val="24"/>
          <w:szCs w:val="24"/>
        </w:rPr>
        <w:t xml:space="preserve">At its meeting in November 2017, the City Deal Executive and Stewardship Board were presented with a private and confidential report regarding the </w:t>
      </w:r>
      <w:r>
        <w:rPr>
          <w:rFonts w:ascii="Arial" w:hAnsi="Arial" w:cs="Arial"/>
          <w:sz w:val="24"/>
          <w:szCs w:val="24"/>
        </w:rPr>
        <w:t xml:space="preserve">North West Preston Road Programme (NWPRP), comprising the </w:t>
      </w:r>
      <w:r w:rsidRPr="006E78DB">
        <w:rPr>
          <w:rFonts w:ascii="Arial" w:hAnsi="Arial" w:cs="Arial"/>
          <w:sz w:val="24"/>
          <w:szCs w:val="24"/>
        </w:rPr>
        <w:t xml:space="preserve">Preston Western </w:t>
      </w:r>
      <w:r w:rsidRPr="006E78DB">
        <w:rPr>
          <w:rFonts w:ascii="Arial" w:hAnsi="Arial" w:cs="Arial"/>
          <w:sz w:val="24"/>
          <w:szCs w:val="24"/>
        </w:rPr>
        <w:lastRenderedPageBreak/>
        <w:t xml:space="preserve">Distributor, (PWD) which includes </w:t>
      </w:r>
      <w:r>
        <w:rPr>
          <w:rFonts w:ascii="Arial" w:hAnsi="Arial" w:cs="Arial"/>
          <w:sz w:val="24"/>
          <w:szCs w:val="24"/>
        </w:rPr>
        <w:t xml:space="preserve">a new </w:t>
      </w:r>
      <w:r w:rsidRPr="006E78DB">
        <w:rPr>
          <w:rFonts w:ascii="Arial" w:hAnsi="Arial" w:cs="Arial"/>
          <w:sz w:val="24"/>
          <w:szCs w:val="24"/>
        </w:rPr>
        <w:t>Junction 2 on the M55, Cottam Link</w:t>
      </w:r>
      <w:r w:rsidRPr="0027524E">
        <w:rPr>
          <w:rFonts w:ascii="Arial" w:hAnsi="Arial" w:cs="Arial"/>
          <w:color w:val="000000" w:themeColor="text1"/>
          <w:sz w:val="24"/>
          <w:szCs w:val="24"/>
        </w:rPr>
        <w:t xml:space="preserve"> Road, and the East West Link Road.  Since that time, a number of important milestones have been reached towards the delivery of this major road scheme.</w:t>
      </w:r>
    </w:p>
    <w:p w:rsidR="0098705E" w:rsidRPr="0027524E" w:rsidRDefault="0098705E" w:rsidP="0098705E">
      <w:pPr>
        <w:pStyle w:val="ListParagraph"/>
        <w:spacing w:after="0"/>
        <w:jc w:val="both"/>
        <w:rPr>
          <w:rFonts w:ascii="Arial" w:hAnsi="Arial" w:cs="Arial"/>
          <w:color w:val="000000" w:themeColor="text1"/>
          <w:sz w:val="24"/>
          <w:szCs w:val="24"/>
        </w:rPr>
      </w:pPr>
    </w:p>
    <w:p w:rsidR="0098705E" w:rsidRPr="0027524E" w:rsidRDefault="0098705E" w:rsidP="0098705E">
      <w:pPr>
        <w:pStyle w:val="ListParagraph"/>
        <w:numPr>
          <w:ilvl w:val="1"/>
          <w:numId w:val="5"/>
        </w:numPr>
        <w:spacing w:line="240" w:lineRule="auto"/>
        <w:jc w:val="both"/>
        <w:rPr>
          <w:rFonts w:ascii="Arial" w:hAnsi="Arial" w:cs="Arial"/>
          <w:color w:val="000000" w:themeColor="text1"/>
          <w:sz w:val="24"/>
          <w:szCs w:val="24"/>
        </w:rPr>
      </w:pPr>
      <w:r w:rsidRPr="0027524E">
        <w:rPr>
          <w:rFonts w:ascii="Arial" w:hAnsi="Arial" w:cs="Arial"/>
          <w:color w:val="000000" w:themeColor="text1"/>
          <w:sz w:val="24"/>
          <w:szCs w:val="24"/>
        </w:rPr>
        <w:t xml:space="preserve">Members will recall that the County Council’s Development Control Committee resolved to grant planning permission for the road scheme at its meeting on 4th October 2017.  Since that time, work has continued to finalise the signing of a section 106 agreement with a third party landowner relating to necessary ecological mitigation measures, which is imminent.   </w:t>
      </w:r>
    </w:p>
    <w:p w:rsidR="0098705E" w:rsidRPr="0027524E" w:rsidRDefault="0098705E" w:rsidP="0098705E">
      <w:pPr>
        <w:pStyle w:val="ListParagraph"/>
        <w:rPr>
          <w:rFonts w:ascii="Arial" w:hAnsi="Arial" w:cs="Arial"/>
          <w:color w:val="000000" w:themeColor="text1"/>
          <w:sz w:val="24"/>
          <w:szCs w:val="24"/>
        </w:rPr>
      </w:pPr>
    </w:p>
    <w:p w:rsidR="0098705E" w:rsidRDefault="0098705E" w:rsidP="0098705E">
      <w:pPr>
        <w:pStyle w:val="ListParagraph"/>
        <w:numPr>
          <w:ilvl w:val="1"/>
          <w:numId w:val="5"/>
        </w:numPr>
        <w:spacing w:line="240" w:lineRule="auto"/>
        <w:jc w:val="both"/>
        <w:rPr>
          <w:rFonts w:ascii="Arial" w:hAnsi="Arial" w:cs="Arial"/>
          <w:color w:val="000000" w:themeColor="text1"/>
          <w:sz w:val="24"/>
          <w:szCs w:val="24"/>
        </w:rPr>
      </w:pPr>
      <w:r w:rsidRPr="0027524E">
        <w:rPr>
          <w:rFonts w:ascii="Arial" w:hAnsi="Arial" w:cs="Arial"/>
          <w:color w:val="000000" w:themeColor="text1"/>
          <w:sz w:val="24"/>
          <w:szCs w:val="24"/>
        </w:rPr>
        <w:t xml:space="preserve">In light of this progress, the funding case for the </w:t>
      </w:r>
      <w:r>
        <w:rPr>
          <w:rFonts w:ascii="Arial" w:hAnsi="Arial" w:cs="Arial"/>
          <w:color w:val="000000" w:themeColor="text1"/>
          <w:sz w:val="24"/>
          <w:szCs w:val="24"/>
        </w:rPr>
        <w:t>Preston Western Distributor</w:t>
      </w:r>
      <w:r w:rsidRPr="0027524E">
        <w:rPr>
          <w:rFonts w:ascii="Arial" w:hAnsi="Arial" w:cs="Arial"/>
          <w:color w:val="000000" w:themeColor="text1"/>
          <w:sz w:val="24"/>
          <w:szCs w:val="24"/>
        </w:rPr>
        <w:t xml:space="preserve"> has been able to proceed with the finalisation and submission of an outline business case to the Lancashire Enterprise Partnership (LEP) to seek approval for the Growth Deal element of the funding package, an allocation of £58 million.</w:t>
      </w:r>
    </w:p>
    <w:p w:rsidR="0098705E" w:rsidRPr="00EA3323" w:rsidRDefault="0098705E" w:rsidP="0098705E">
      <w:pPr>
        <w:pStyle w:val="ListParagraph"/>
        <w:rPr>
          <w:rFonts w:ascii="Arial" w:hAnsi="Arial" w:cs="Arial"/>
          <w:color w:val="000000" w:themeColor="text1"/>
          <w:sz w:val="24"/>
          <w:szCs w:val="24"/>
        </w:rPr>
      </w:pPr>
    </w:p>
    <w:p w:rsidR="0098705E" w:rsidRDefault="0098705E" w:rsidP="0098705E">
      <w:pPr>
        <w:pStyle w:val="ListParagraph"/>
        <w:numPr>
          <w:ilvl w:val="1"/>
          <w:numId w:val="5"/>
        </w:numPr>
        <w:spacing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Prior to proceeding to this stage, officers had completed a cost exercise to verify the cost estimate forming the basis for this submission.  Members will recall that a number of independent specialist </w:t>
      </w:r>
      <w:r w:rsidRPr="000262B9">
        <w:rPr>
          <w:rFonts w:ascii="Arial" w:hAnsi="Arial" w:cs="Arial"/>
          <w:sz w:val="24"/>
          <w:szCs w:val="24"/>
        </w:rPr>
        <w:t xml:space="preserve">reviews </w:t>
      </w:r>
      <w:r>
        <w:rPr>
          <w:rFonts w:ascii="Arial" w:hAnsi="Arial" w:cs="Arial"/>
          <w:sz w:val="24"/>
          <w:szCs w:val="24"/>
        </w:rPr>
        <w:t xml:space="preserve">have been </w:t>
      </w:r>
      <w:r w:rsidRPr="000262B9">
        <w:rPr>
          <w:rFonts w:ascii="Arial" w:hAnsi="Arial" w:cs="Arial"/>
          <w:sz w:val="24"/>
          <w:szCs w:val="24"/>
        </w:rPr>
        <w:t>carried out</w:t>
      </w:r>
      <w:r>
        <w:rPr>
          <w:rFonts w:ascii="Arial" w:hAnsi="Arial" w:cs="Arial"/>
          <w:sz w:val="24"/>
          <w:szCs w:val="24"/>
        </w:rPr>
        <w:t xml:space="preserve"> </w:t>
      </w:r>
      <w:r w:rsidRPr="000262B9">
        <w:rPr>
          <w:rFonts w:ascii="Arial" w:hAnsi="Arial" w:cs="Arial"/>
          <w:sz w:val="24"/>
          <w:szCs w:val="24"/>
        </w:rPr>
        <w:t xml:space="preserve">to update or verify the </w:t>
      </w:r>
      <w:r>
        <w:rPr>
          <w:rFonts w:ascii="Arial" w:hAnsi="Arial" w:cs="Arial"/>
          <w:sz w:val="24"/>
          <w:szCs w:val="24"/>
        </w:rPr>
        <w:t xml:space="preserve">scheme </w:t>
      </w:r>
      <w:r w:rsidRPr="000262B9">
        <w:rPr>
          <w:rFonts w:ascii="Arial" w:hAnsi="Arial" w:cs="Arial"/>
          <w:sz w:val="24"/>
          <w:szCs w:val="24"/>
        </w:rPr>
        <w:t>cost estimate</w:t>
      </w:r>
      <w:r>
        <w:rPr>
          <w:rFonts w:ascii="Arial" w:hAnsi="Arial" w:cs="Arial"/>
          <w:sz w:val="24"/>
          <w:szCs w:val="24"/>
        </w:rPr>
        <w:t xml:space="preserve"> </w:t>
      </w:r>
      <w:r w:rsidRPr="000262B9">
        <w:rPr>
          <w:rFonts w:ascii="Arial" w:hAnsi="Arial" w:cs="Arial"/>
          <w:sz w:val="24"/>
          <w:szCs w:val="24"/>
        </w:rPr>
        <w:t xml:space="preserve">since the original concept </w:t>
      </w:r>
      <w:r>
        <w:rPr>
          <w:rFonts w:ascii="Arial" w:hAnsi="Arial" w:cs="Arial"/>
          <w:sz w:val="24"/>
          <w:szCs w:val="24"/>
        </w:rPr>
        <w:t>and cost estimates were established in</w:t>
      </w:r>
      <w:r w:rsidRPr="000262B9">
        <w:rPr>
          <w:rFonts w:ascii="Arial" w:hAnsi="Arial" w:cs="Arial"/>
          <w:sz w:val="24"/>
          <w:szCs w:val="24"/>
        </w:rPr>
        <w:t xml:space="preserve"> 2013</w:t>
      </w:r>
      <w:r>
        <w:rPr>
          <w:rFonts w:ascii="Arial" w:hAnsi="Arial" w:cs="Arial"/>
          <w:sz w:val="24"/>
          <w:szCs w:val="24"/>
        </w:rPr>
        <w:t xml:space="preserve">.  Most recently, a second independent cost verification was commissioned during </w:t>
      </w:r>
      <w:proofErr w:type="gramStart"/>
      <w:r>
        <w:rPr>
          <w:rFonts w:ascii="Arial" w:hAnsi="Arial" w:cs="Arial"/>
          <w:sz w:val="24"/>
          <w:szCs w:val="24"/>
        </w:rPr>
        <w:t>Autumn</w:t>
      </w:r>
      <w:proofErr w:type="gramEnd"/>
      <w:r>
        <w:rPr>
          <w:rFonts w:ascii="Arial" w:hAnsi="Arial" w:cs="Arial"/>
          <w:sz w:val="24"/>
          <w:szCs w:val="24"/>
        </w:rPr>
        <w:t xml:space="preserve"> 2017, following the outcome of the planning process, which has since confirmed </w:t>
      </w:r>
      <w:r w:rsidRPr="000262B9">
        <w:rPr>
          <w:rFonts w:ascii="Arial" w:hAnsi="Arial" w:cs="Arial"/>
          <w:sz w:val="24"/>
          <w:szCs w:val="24"/>
        </w:rPr>
        <w:t xml:space="preserve">the financial position </w:t>
      </w:r>
      <w:r>
        <w:rPr>
          <w:rFonts w:ascii="Arial" w:hAnsi="Arial" w:cs="Arial"/>
          <w:sz w:val="24"/>
          <w:szCs w:val="24"/>
        </w:rPr>
        <w:t>as a reliable basis for reportin</w:t>
      </w:r>
      <w:r w:rsidR="007A0E3A">
        <w:rPr>
          <w:rFonts w:ascii="Arial" w:hAnsi="Arial" w:cs="Arial"/>
          <w:sz w:val="24"/>
          <w:szCs w:val="24"/>
        </w:rPr>
        <w:t>g to the following key stages.</w:t>
      </w:r>
      <w:bookmarkStart w:id="0" w:name="_GoBack"/>
      <w:bookmarkEnd w:id="0"/>
    </w:p>
    <w:p w:rsidR="0098705E" w:rsidRPr="00EA3323" w:rsidRDefault="0098705E" w:rsidP="0098705E">
      <w:pPr>
        <w:pStyle w:val="ListParagraph"/>
        <w:rPr>
          <w:rFonts w:ascii="Arial" w:hAnsi="Arial" w:cs="Arial"/>
          <w:color w:val="000000" w:themeColor="text1"/>
          <w:sz w:val="24"/>
          <w:szCs w:val="24"/>
        </w:rPr>
      </w:pPr>
    </w:p>
    <w:p w:rsidR="0098705E" w:rsidRDefault="0098705E" w:rsidP="0098705E">
      <w:pPr>
        <w:pStyle w:val="ListParagraph"/>
        <w:numPr>
          <w:ilvl w:val="1"/>
          <w:numId w:val="5"/>
        </w:numPr>
        <w:spacing w:line="240" w:lineRule="auto"/>
        <w:jc w:val="both"/>
        <w:rPr>
          <w:rFonts w:ascii="Arial" w:hAnsi="Arial" w:cs="Arial"/>
          <w:color w:val="000000" w:themeColor="text1"/>
          <w:sz w:val="24"/>
          <w:szCs w:val="24"/>
        </w:rPr>
      </w:pPr>
      <w:r w:rsidRPr="0027524E">
        <w:rPr>
          <w:rFonts w:ascii="Arial" w:hAnsi="Arial" w:cs="Arial"/>
          <w:color w:val="000000" w:themeColor="text1"/>
          <w:sz w:val="24"/>
          <w:szCs w:val="24"/>
        </w:rPr>
        <w:t>At its meeting on 10</w:t>
      </w:r>
      <w:r w:rsidRPr="0027524E">
        <w:rPr>
          <w:rFonts w:ascii="Arial" w:hAnsi="Arial" w:cs="Arial"/>
          <w:color w:val="000000" w:themeColor="text1"/>
          <w:sz w:val="24"/>
          <w:szCs w:val="24"/>
          <w:vertAlign w:val="superscript"/>
        </w:rPr>
        <w:t>th</w:t>
      </w:r>
      <w:r w:rsidRPr="0027524E">
        <w:rPr>
          <w:rFonts w:ascii="Arial" w:hAnsi="Arial" w:cs="Arial"/>
          <w:color w:val="000000" w:themeColor="text1"/>
          <w:sz w:val="24"/>
          <w:szCs w:val="24"/>
        </w:rPr>
        <w:t xml:space="preserve"> January 2018, the LEP’s Transport for Lancashire Committee received the report of the LEP’s independent assurance assessor in these matters, Atkins, and their recommendation that Conditional Approval be granted to enable the scheme to progress to Full Business case submission.  </w:t>
      </w:r>
      <w:r>
        <w:rPr>
          <w:rFonts w:ascii="Arial" w:hAnsi="Arial" w:cs="Arial"/>
          <w:color w:val="000000" w:themeColor="text1"/>
          <w:sz w:val="24"/>
          <w:szCs w:val="24"/>
        </w:rPr>
        <w:t xml:space="preserve">The current projected outturn capital cost of the Preston Western Distributor of £161.6m was set out in the report and an explanation given as to the difference to the £104.5m reported at Programme Entry in 2014.  </w:t>
      </w:r>
      <w:r w:rsidRPr="0027524E">
        <w:rPr>
          <w:rFonts w:ascii="Arial" w:hAnsi="Arial" w:cs="Arial"/>
          <w:color w:val="000000" w:themeColor="text1"/>
          <w:sz w:val="24"/>
          <w:szCs w:val="24"/>
        </w:rPr>
        <w:t>The assessor’s report confirmed that the scheme is predicted to deliver high quality for money with a be</w:t>
      </w:r>
      <w:r>
        <w:rPr>
          <w:rFonts w:ascii="Arial" w:hAnsi="Arial" w:cs="Arial"/>
          <w:color w:val="000000" w:themeColor="text1"/>
          <w:sz w:val="24"/>
          <w:szCs w:val="24"/>
        </w:rPr>
        <w:t>ne</w:t>
      </w:r>
      <w:r w:rsidRPr="0027524E">
        <w:rPr>
          <w:rFonts w:ascii="Arial" w:hAnsi="Arial" w:cs="Arial"/>
          <w:color w:val="000000" w:themeColor="text1"/>
          <w:sz w:val="24"/>
          <w:szCs w:val="24"/>
        </w:rPr>
        <w:t>fit to cost ratio of 2.29, with the potential to generate an additional £144m of GVA for the local economy, over its 60</w:t>
      </w:r>
      <w:r>
        <w:rPr>
          <w:rFonts w:ascii="Arial" w:hAnsi="Arial" w:cs="Arial"/>
          <w:color w:val="000000" w:themeColor="text1"/>
          <w:sz w:val="24"/>
          <w:szCs w:val="24"/>
        </w:rPr>
        <w:t>-</w:t>
      </w:r>
      <w:r w:rsidRPr="0027524E">
        <w:rPr>
          <w:rFonts w:ascii="Arial" w:hAnsi="Arial" w:cs="Arial"/>
          <w:color w:val="000000" w:themeColor="text1"/>
          <w:sz w:val="24"/>
          <w:szCs w:val="24"/>
        </w:rPr>
        <w:t>year evaluation period, principally through unlocked development.</w:t>
      </w:r>
    </w:p>
    <w:p w:rsidR="0098705E" w:rsidRDefault="0098705E" w:rsidP="0098705E">
      <w:pPr>
        <w:pStyle w:val="ListParagraph"/>
        <w:spacing w:line="240" w:lineRule="auto"/>
        <w:jc w:val="both"/>
        <w:rPr>
          <w:rFonts w:ascii="Arial" w:hAnsi="Arial" w:cs="Arial"/>
          <w:color w:val="000000" w:themeColor="text1"/>
          <w:sz w:val="24"/>
          <w:szCs w:val="24"/>
        </w:rPr>
      </w:pPr>
    </w:p>
    <w:p w:rsidR="0098705E" w:rsidRPr="0027524E" w:rsidRDefault="0098705E" w:rsidP="0098705E">
      <w:pPr>
        <w:pStyle w:val="ListParagraph"/>
        <w:numPr>
          <w:ilvl w:val="1"/>
          <w:numId w:val="5"/>
        </w:numPr>
        <w:spacing w:line="240" w:lineRule="auto"/>
        <w:jc w:val="both"/>
        <w:rPr>
          <w:rFonts w:ascii="Arial" w:hAnsi="Arial" w:cs="Arial"/>
          <w:color w:val="000000" w:themeColor="text1"/>
          <w:sz w:val="24"/>
          <w:szCs w:val="24"/>
        </w:rPr>
      </w:pPr>
      <w:r>
        <w:rPr>
          <w:rFonts w:ascii="Arial" w:hAnsi="Arial" w:cs="Arial"/>
          <w:color w:val="000000" w:themeColor="text1"/>
          <w:sz w:val="24"/>
          <w:szCs w:val="24"/>
        </w:rPr>
        <w:t>On the basis of this information, the Transport for Lancashire Committee recommended that the LEP Board grant the scheme Conditional Approval, which the Board did at its meeting on 30</w:t>
      </w:r>
      <w:r w:rsidRPr="009B6447">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January 2018.</w:t>
      </w:r>
    </w:p>
    <w:p w:rsidR="0098705E" w:rsidRPr="009B6447" w:rsidRDefault="0098705E" w:rsidP="0098705E">
      <w:pPr>
        <w:pStyle w:val="ListParagraph"/>
        <w:rPr>
          <w:rFonts w:ascii="Arial" w:hAnsi="Arial" w:cs="Arial"/>
          <w:color w:val="000000" w:themeColor="text1"/>
          <w:sz w:val="24"/>
          <w:szCs w:val="24"/>
        </w:rPr>
      </w:pPr>
    </w:p>
    <w:p w:rsidR="0098705E" w:rsidRDefault="0098705E" w:rsidP="0098705E">
      <w:pPr>
        <w:pStyle w:val="ListParagraph"/>
        <w:numPr>
          <w:ilvl w:val="1"/>
          <w:numId w:val="5"/>
        </w:numPr>
        <w:spacing w:line="240" w:lineRule="auto"/>
        <w:jc w:val="both"/>
        <w:rPr>
          <w:rFonts w:ascii="Arial" w:hAnsi="Arial" w:cs="Arial"/>
          <w:color w:val="000000" w:themeColor="text1"/>
          <w:sz w:val="24"/>
          <w:szCs w:val="24"/>
        </w:rPr>
      </w:pPr>
      <w:r w:rsidRPr="009B6447">
        <w:rPr>
          <w:rFonts w:ascii="Arial" w:hAnsi="Arial" w:cs="Arial"/>
          <w:color w:val="000000" w:themeColor="text1"/>
          <w:sz w:val="24"/>
          <w:szCs w:val="24"/>
        </w:rPr>
        <w:t>To remind members of th</w:t>
      </w:r>
      <w:r>
        <w:rPr>
          <w:rFonts w:ascii="Arial" w:hAnsi="Arial" w:cs="Arial"/>
          <w:color w:val="000000" w:themeColor="text1"/>
          <w:sz w:val="24"/>
          <w:szCs w:val="24"/>
        </w:rPr>
        <w:t>e City Deal Executive and Stewardship Board,</w:t>
      </w:r>
      <w:r w:rsidRPr="009B6447">
        <w:rPr>
          <w:rFonts w:ascii="Arial" w:hAnsi="Arial" w:cs="Arial"/>
          <w:color w:val="000000" w:themeColor="text1"/>
          <w:sz w:val="24"/>
          <w:szCs w:val="24"/>
        </w:rPr>
        <w:t xml:space="preserve"> </w:t>
      </w:r>
      <w:r>
        <w:rPr>
          <w:rFonts w:ascii="Arial" w:hAnsi="Arial" w:cs="Arial"/>
          <w:color w:val="000000" w:themeColor="text1"/>
          <w:sz w:val="24"/>
          <w:szCs w:val="24"/>
        </w:rPr>
        <w:t>the most recent cost estimate reported for the NWPRP (comprising the Preston Western Distributor and, additionally, the East West and Cottam Link Roads) is £189.45m.  T</w:t>
      </w:r>
      <w:r w:rsidRPr="009B6447">
        <w:rPr>
          <w:rFonts w:ascii="Arial" w:hAnsi="Arial" w:cs="Arial"/>
          <w:color w:val="000000" w:themeColor="text1"/>
          <w:sz w:val="24"/>
          <w:szCs w:val="24"/>
        </w:rPr>
        <w:t xml:space="preserve">he agreed capital contribution from the Local Growth Fund through the Lancashire Growth Deal is fixed at £58m.  Highways England has also </w:t>
      </w:r>
      <w:r w:rsidRPr="009B6447">
        <w:rPr>
          <w:rFonts w:ascii="Arial" w:hAnsi="Arial" w:cs="Arial"/>
          <w:color w:val="000000" w:themeColor="text1"/>
          <w:sz w:val="24"/>
          <w:szCs w:val="24"/>
        </w:rPr>
        <w:lastRenderedPageBreak/>
        <w:t>confirmed its £25m contribution towards the cost of the new M55 Junction 2.  The City Deal Infrastructure Fund will fund the balance</w:t>
      </w:r>
      <w:r>
        <w:rPr>
          <w:rFonts w:ascii="Arial" w:hAnsi="Arial" w:cs="Arial"/>
          <w:color w:val="000000" w:themeColor="text1"/>
          <w:sz w:val="24"/>
          <w:szCs w:val="24"/>
        </w:rPr>
        <w:t>,</w:t>
      </w:r>
      <w:r w:rsidRPr="009B6447">
        <w:rPr>
          <w:rFonts w:ascii="Arial" w:hAnsi="Arial" w:cs="Arial"/>
          <w:color w:val="000000" w:themeColor="text1"/>
          <w:sz w:val="24"/>
          <w:szCs w:val="24"/>
        </w:rPr>
        <w:t xml:space="preserve"> with </w:t>
      </w:r>
      <w:r>
        <w:rPr>
          <w:rFonts w:ascii="Arial" w:hAnsi="Arial" w:cs="Arial"/>
          <w:color w:val="000000" w:themeColor="text1"/>
          <w:sz w:val="24"/>
          <w:szCs w:val="24"/>
        </w:rPr>
        <w:t xml:space="preserve">a local contribution of £106.45m met through the resources available and which become available to the City Deal along with any subsequent cost increases above the level of the grant already agreed.  </w:t>
      </w:r>
      <w:r w:rsidRPr="009B6447">
        <w:rPr>
          <w:rFonts w:ascii="Arial" w:hAnsi="Arial" w:cs="Arial"/>
          <w:color w:val="000000" w:themeColor="text1"/>
          <w:sz w:val="24"/>
          <w:szCs w:val="24"/>
        </w:rPr>
        <w:t xml:space="preserve">Lancashire County Council </w:t>
      </w:r>
      <w:r>
        <w:rPr>
          <w:rFonts w:ascii="Arial" w:hAnsi="Arial" w:cs="Arial"/>
          <w:color w:val="000000" w:themeColor="text1"/>
          <w:sz w:val="24"/>
          <w:szCs w:val="24"/>
        </w:rPr>
        <w:t xml:space="preserve">has confirmed </w:t>
      </w:r>
      <w:r w:rsidRPr="009B6447">
        <w:rPr>
          <w:rFonts w:ascii="Arial" w:hAnsi="Arial" w:cs="Arial"/>
          <w:color w:val="000000" w:themeColor="text1"/>
          <w:sz w:val="24"/>
          <w:szCs w:val="24"/>
        </w:rPr>
        <w:t>through the outline business plan process that it will underwrite the impact of any timing difference in relation to receipt of City Deal funding and any subsequent cost increase.</w:t>
      </w:r>
    </w:p>
    <w:p w:rsidR="0098705E" w:rsidRPr="00EA3323" w:rsidRDefault="0098705E" w:rsidP="0098705E">
      <w:pPr>
        <w:pStyle w:val="ListParagraph"/>
        <w:rPr>
          <w:rFonts w:ascii="Arial" w:hAnsi="Arial" w:cs="Arial"/>
          <w:color w:val="000000" w:themeColor="text1"/>
          <w:sz w:val="24"/>
          <w:szCs w:val="24"/>
        </w:rPr>
      </w:pPr>
    </w:p>
    <w:p w:rsidR="0098705E" w:rsidRPr="00772671" w:rsidRDefault="0098705E" w:rsidP="0098705E">
      <w:pPr>
        <w:pStyle w:val="ListParagraph"/>
        <w:numPr>
          <w:ilvl w:val="1"/>
          <w:numId w:val="5"/>
        </w:numPr>
        <w:spacing w:line="240" w:lineRule="auto"/>
        <w:jc w:val="both"/>
        <w:rPr>
          <w:rFonts w:ascii="Arial" w:hAnsi="Arial" w:cs="Arial"/>
          <w:color w:val="000000" w:themeColor="text1"/>
          <w:sz w:val="24"/>
          <w:szCs w:val="24"/>
        </w:rPr>
      </w:pPr>
      <w:r w:rsidRPr="00772671">
        <w:rPr>
          <w:rFonts w:ascii="Arial" w:hAnsi="Arial" w:cs="Arial"/>
          <w:color w:val="000000" w:themeColor="text1"/>
          <w:sz w:val="24"/>
          <w:szCs w:val="24"/>
        </w:rPr>
        <w:t>Confirmation of these planning and funding consents has enabled arrangements for land assembly to proceed through an important milestone.  At its meeting on 1</w:t>
      </w:r>
      <w:r w:rsidRPr="00772671">
        <w:rPr>
          <w:rFonts w:ascii="Arial" w:hAnsi="Arial" w:cs="Arial"/>
          <w:color w:val="000000" w:themeColor="text1"/>
          <w:sz w:val="24"/>
          <w:szCs w:val="24"/>
          <w:vertAlign w:val="superscript"/>
        </w:rPr>
        <w:t>st</w:t>
      </w:r>
      <w:r w:rsidRPr="00772671">
        <w:rPr>
          <w:rFonts w:ascii="Arial" w:hAnsi="Arial" w:cs="Arial"/>
          <w:color w:val="000000" w:themeColor="text1"/>
          <w:sz w:val="24"/>
          <w:szCs w:val="24"/>
        </w:rPr>
        <w:t xml:space="preserve"> February 2018 the County Council’s Cabinet agreed to make and advertise Side Roads and Compulsory Purchase Orders for land and rights, as well as changes to the existing highway network and two bridge schemes that will cross the Lancaster Canal and the Mille</w:t>
      </w:r>
      <w:r>
        <w:rPr>
          <w:rFonts w:ascii="Arial" w:hAnsi="Arial" w:cs="Arial"/>
          <w:color w:val="000000" w:themeColor="text1"/>
          <w:sz w:val="24"/>
          <w:szCs w:val="24"/>
        </w:rPr>
        <w:t>n</w:t>
      </w:r>
      <w:r w:rsidRPr="00772671">
        <w:rPr>
          <w:rFonts w:ascii="Arial" w:hAnsi="Arial" w:cs="Arial"/>
          <w:color w:val="000000" w:themeColor="text1"/>
          <w:sz w:val="24"/>
          <w:szCs w:val="24"/>
        </w:rPr>
        <w:t>nium Ribble Link.</w:t>
      </w:r>
    </w:p>
    <w:p w:rsidR="0098705E" w:rsidRPr="00772671" w:rsidRDefault="0098705E" w:rsidP="0098705E">
      <w:pPr>
        <w:pStyle w:val="ListParagraph"/>
        <w:rPr>
          <w:rFonts w:ascii="Arial" w:hAnsi="Arial" w:cs="Arial"/>
          <w:color w:val="000000" w:themeColor="text1"/>
          <w:sz w:val="24"/>
          <w:szCs w:val="24"/>
        </w:rPr>
      </w:pPr>
    </w:p>
    <w:p w:rsidR="0098705E" w:rsidRDefault="0098705E" w:rsidP="0098705E">
      <w:pPr>
        <w:pStyle w:val="ListParagraph"/>
        <w:numPr>
          <w:ilvl w:val="1"/>
          <w:numId w:val="5"/>
        </w:numPr>
        <w:spacing w:line="240" w:lineRule="auto"/>
        <w:jc w:val="both"/>
        <w:rPr>
          <w:rFonts w:ascii="Arial" w:hAnsi="Arial" w:cs="Arial"/>
          <w:color w:val="000000" w:themeColor="text1"/>
          <w:sz w:val="24"/>
          <w:szCs w:val="24"/>
        </w:rPr>
      </w:pPr>
      <w:r w:rsidRPr="00772671">
        <w:rPr>
          <w:rFonts w:ascii="Arial" w:hAnsi="Arial" w:cs="Arial"/>
          <w:color w:val="000000" w:themeColor="text1"/>
          <w:sz w:val="24"/>
          <w:szCs w:val="24"/>
        </w:rPr>
        <w:t xml:space="preserve">The scheme requires 88 hectares of permanent land take, 4 hectares of permanent rights over land for drainage, access to maintain structures </w:t>
      </w:r>
      <w:proofErr w:type="spellStart"/>
      <w:r w:rsidRPr="00772671">
        <w:rPr>
          <w:rFonts w:ascii="Arial" w:hAnsi="Arial" w:cs="Arial"/>
          <w:color w:val="000000" w:themeColor="text1"/>
          <w:sz w:val="24"/>
          <w:szCs w:val="24"/>
        </w:rPr>
        <w:t>etc</w:t>
      </w:r>
      <w:proofErr w:type="spellEnd"/>
      <w:r w:rsidRPr="00772671">
        <w:rPr>
          <w:rFonts w:ascii="Arial" w:hAnsi="Arial" w:cs="Arial"/>
          <w:color w:val="000000" w:themeColor="text1"/>
          <w:sz w:val="24"/>
          <w:szCs w:val="24"/>
        </w:rPr>
        <w:t xml:space="preserve">, and a further 68 hectares of temporary rights for works compounds, soil storage, haul roads etc.   </w:t>
      </w:r>
    </w:p>
    <w:p w:rsidR="0098705E" w:rsidRPr="00772671" w:rsidRDefault="0098705E" w:rsidP="0098705E">
      <w:pPr>
        <w:pStyle w:val="ListParagraph"/>
        <w:rPr>
          <w:rFonts w:ascii="Arial" w:hAnsi="Arial" w:cs="Arial"/>
          <w:color w:val="000000" w:themeColor="text1"/>
          <w:sz w:val="24"/>
          <w:szCs w:val="24"/>
        </w:rPr>
      </w:pPr>
    </w:p>
    <w:p w:rsidR="0098705E" w:rsidRDefault="0098705E" w:rsidP="0098705E">
      <w:pPr>
        <w:pStyle w:val="ListParagraph"/>
        <w:numPr>
          <w:ilvl w:val="1"/>
          <w:numId w:val="5"/>
        </w:numPr>
        <w:spacing w:line="240" w:lineRule="auto"/>
        <w:jc w:val="both"/>
        <w:rPr>
          <w:rFonts w:ascii="Arial" w:hAnsi="Arial" w:cs="Arial"/>
          <w:color w:val="000000" w:themeColor="text1"/>
          <w:sz w:val="24"/>
          <w:szCs w:val="24"/>
        </w:rPr>
      </w:pPr>
      <w:r w:rsidRPr="00772671">
        <w:rPr>
          <w:rFonts w:ascii="Arial" w:hAnsi="Arial" w:cs="Arial"/>
          <w:color w:val="000000" w:themeColor="text1"/>
          <w:sz w:val="24"/>
          <w:szCs w:val="24"/>
        </w:rPr>
        <w:t>No houses are taken or will need to be demolished for the scheme, with 3 gardens affected and a single business which requires the agreed relocation of some buildings.  The vast majority of the land affected is farm land or used for equestrian purposes.</w:t>
      </w:r>
    </w:p>
    <w:p w:rsidR="0098705E" w:rsidRPr="00772671" w:rsidRDefault="0098705E" w:rsidP="0098705E">
      <w:pPr>
        <w:pStyle w:val="ListParagraph"/>
        <w:rPr>
          <w:rFonts w:ascii="Arial" w:hAnsi="Arial" w:cs="Arial"/>
          <w:color w:val="000000" w:themeColor="text1"/>
          <w:sz w:val="24"/>
          <w:szCs w:val="24"/>
        </w:rPr>
      </w:pPr>
    </w:p>
    <w:p w:rsidR="0098705E" w:rsidRDefault="0098705E" w:rsidP="0098705E">
      <w:pPr>
        <w:pStyle w:val="ListParagraph"/>
        <w:numPr>
          <w:ilvl w:val="1"/>
          <w:numId w:val="5"/>
        </w:numPr>
        <w:spacing w:line="240" w:lineRule="auto"/>
        <w:jc w:val="both"/>
        <w:rPr>
          <w:rFonts w:ascii="Arial" w:hAnsi="Arial" w:cs="Arial"/>
          <w:color w:val="000000" w:themeColor="text1"/>
          <w:sz w:val="24"/>
          <w:szCs w:val="24"/>
        </w:rPr>
      </w:pPr>
      <w:r>
        <w:rPr>
          <w:rFonts w:ascii="Arial" w:hAnsi="Arial" w:cs="Arial"/>
          <w:color w:val="000000" w:themeColor="text1"/>
          <w:sz w:val="24"/>
          <w:szCs w:val="24"/>
        </w:rPr>
        <w:t>There has already been a high level of involvement with land owners affected by the scheme, through the planning process and in determining the detail of the scheme and its impacts and how mitigation could be included in the project.  Discussions will continue in an attempt to reach agreement with landowners, although there is no guarantee that landowners will be prepared to sell or grant the necessary rights by agreement, hence the County Council taking this important step to ensure progression of the scheme.</w:t>
      </w:r>
    </w:p>
    <w:p w:rsidR="0098705E" w:rsidRPr="002C04DF" w:rsidRDefault="0098705E" w:rsidP="0098705E">
      <w:pPr>
        <w:pStyle w:val="ListParagraph"/>
        <w:rPr>
          <w:rFonts w:ascii="Arial" w:hAnsi="Arial" w:cs="Arial"/>
          <w:color w:val="000000" w:themeColor="text1"/>
          <w:sz w:val="24"/>
          <w:szCs w:val="24"/>
        </w:rPr>
      </w:pPr>
    </w:p>
    <w:p w:rsidR="0098705E" w:rsidRDefault="0098705E" w:rsidP="0098705E">
      <w:pPr>
        <w:pStyle w:val="ListParagraph"/>
        <w:numPr>
          <w:ilvl w:val="1"/>
          <w:numId w:val="5"/>
        </w:numPr>
        <w:spacing w:line="240" w:lineRule="auto"/>
        <w:jc w:val="both"/>
        <w:rPr>
          <w:rFonts w:ascii="Arial" w:hAnsi="Arial" w:cs="Arial"/>
          <w:color w:val="000000" w:themeColor="text1"/>
          <w:sz w:val="24"/>
          <w:szCs w:val="24"/>
        </w:rPr>
      </w:pPr>
      <w:r>
        <w:rPr>
          <w:rFonts w:ascii="Arial" w:hAnsi="Arial" w:cs="Arial"/>
          <w:color w:val="000000" w:themeColor="text1"/>
          <w:sz w:val="24"/>
          <w:szCs w:val="24"/>
        </w:rPr>
        <w:t>This decision will see the County Council make, advertise and request the Secretary of State to confirm the Side Roads and Compulsory Purchase Orders to make necessary changes to the existing highway network and to acquire the necessary land and rights to deliver the scheme.  The Secretary of State’s confirmation is also needed in order to allow the County Council to construct bridges over navigable waters.</w:t>
      </w:r>
    </w:p>
    <w:p w:rsidR="0098705E" w:rsidRPr="002C04DF" w:rsidRDefault="0098705E" w:rsidP="0098705E">
      <w:pPr>
        <w:pStyle w:val="ListParagraph"/>
        <w:rPr>
          <w:rFonts w:ascii="Arial" w:hAnsi="Arial" w:cs="Arial"/>
          <w:color w:val="000000" w:themeColor="text1"/>
          <w:sz w:val="24"/>
          <w:szCs w:val="24"/>
        </w:rPr>
      </w:pPr>
    </w:p>
    <w:p w:rsidR="0098705E" w:rsidRDefault="0098705E" w:rsidP="0098705E">
      <w:pPr>
        <w:pStyle w:val="ListParagraph"/>
        <w:numPr>
          <w:ilvl w:val="1"/>
          <w:numId w:val="5"/>
        </w:numPr>
        <w:spacing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Once these Orders have been made, all those with an interest in the land must be notified and notices placed in the local press.  The Orders and any objections received during this advertisement period will be submitted to the Secretary of State.  If objections are received, the Secretary of State will determine whether to proceed by way of written representations or a public inquiry.  Under these </w:t>
      </w:r>
      <w:r>
        <w:rPr>
          <w:rFonts w:ascii="Arial" w:hAnsi="Arial" w:cs="Arial"/>
          <w:color w:val="000000" w:themeColor="text1"/>
          <w:sz w:val="24"/>
          <w:szCs w:val="24"/>
        </w:rPr>
        <w:lastRenderedPageBreak/>
        <w:t>circumstances, an Inspector will be appointed who will prepare a report for the Secretary of State.</w:t>
      </w:r>
    </w:p>
    <w:p w:rsidR="0098705E" w:rsidRPr="00BA7E29" w:rsidRDefault="0098705E" w:rsidP="0098705E">
      <w:pPr>
        <w:pStyle w:val="ListParagraph"/>
        <w:jc w:val="both"/>
        <w:rPr>
          <w:rFonts w:ascii="Arial" w:hAnsi="Arial" w:cs="Arial"/>
          <w:color w:val="000000" w:themeColor="text1"/>
          <w:sz w:val="24"/>
          <w:szCs w:val="24"/>
        </w:rPr>
      </w:pPr>
    </w:p>
    <w:p w:rsidR="0098705E" w:rsidRPr="0098705E" w:rsidRDefault="0098705E" w:rsidP="0098705E">
      <w:pPr>
        <w:pStyle w:val="ListParagraph"/>
        <w:numPr>
          <w:ilvl w:val="1"/>
          <w:numId w:val="5"/>
        </w:numPr>
        <w:spacing w:line="240" w:lineRule="auto"/>
        <w:jc w:val="both"/>
        <w:rPr>
          <w:rFonts w:ascii="Arial" w:hAnsi="Arial" w:cs="Arial"/>
          <w:sz w:val="24"/>
          <w:szCs w:val="24"/>
        </w:rPr>
      </w:pPr>
      <w:r>
        <w:rPr>
          <w:rFonts w:ascii="Arial" w:hAnsi="Arial" w:cs="Arial"/>
          <w:color w:val="000000" w:themeColor="text1"/>
          <w:sz w:val="24"/>
          <w:szCs w:val="24"/>
        </w:rPr>
        <w:t>Officers have prepared a programme (overleaf) which considers the future key milestones and includes the prospect for a public inquiry, the preparation and submission of a Full Business Case for funding approval (which will be a decision for the Department of Transport), the finalisation of the scheme design and procuring and awarding a build contract for construction.  These stages are anticipated to take us to a start to construction by the end of 2019.</w:t>
      </w:r>
    </w:p>
    <w:p w:rsidR="0098705E" w:rsidRPr="006C5F49" w:rsidRDefault="0098705E" w:rsidP="0098705E">
      <w:pPr>
        <w:jc w:val="both"/>
        <w:rPr>
          <w:rFonts w:ascii="Arial" w:hAnsi="Arial" w:cs="Arial"/>
          <w:sz w:val="24"/>
          <w:szCs w:val="24"/>
        </w:rPr>
      </w:pPr>
      <w:r>
        <w:rPr>
          <w:rFonts w:ascii="Arial" w:hAnsi="Arial" w:cs="Arial"/>
          <w:sz w:val="24"/>
          <w:szCs w:val="24"/>
        </w:rPr>
        <w:br w:type="page"/>
      </w:r>
      <w:r>
        <w:rPr>
          <w:rFonts w:ascii="Arial" w:hAnsi="Arial" w:cs="Arial"/>
          <w:sz w:val="24"/>
          <w:szCs w:val="24"/>
        </w:rPr>
        <w:lastRenderedPageBreak/>
        <w:t>2.</w:t>
      </w:r>
      <w:r>
        <w:rPr>
          <w:rFonts w:ascii="Arial" w:hAnsi="Arial" w:cs="Arial"/>
          <w:sz w:val="24"/>
          <w:szCs w:val="24"/>
        </w:rPr>
        <w:tab/>
      </w:r>
      <w:r w:rsidRPr="006C5F49">
        <w:rPr>
          <w:rFonts w:ascii="Arial" w:hAnsi="Arial" w:cs="Arial"/>
          <w:b/>
          <w:sz w:val="24"/>
          <w:szCs w:val="24"/>
        </w:rPr>
        <w:t>Programme</w:t>
      </w:r>
      <w:r>
        <w:rPr>
          <w:rFonts w:ascii="Arial" w:hAnsi="Arial" w:cs="Arial"/>
          <w:sz w:val="24"/>
          <w:szCs w:val="24"/>
        </w:rPr>
        <w:t xml:space="preserve"> </w:t>
      </w:r>
    </w:p>
    <w:p w:rsidR="0098705E" w:rsidRPr="00116032" w:rsidRDefault="0098705E" w:rsidP="0098705E">
      <w:pPr>
        <w:ind w:left="-360" w:firstLine="1080"/>
        <w:rPr>
          <w:rFonts w:ascii="Arial" w:hAnsi="Arial" w:cs="Arial"/>
          <w:b/>
          <w:sz w:val="24"/>
          <w:szCs w:val="24"/>
        </w:rPr>
      </w:pPr>
      <w:r w:rsidRPr="00116032">
        <w:rPr>
          <w:rFonts w:ascii="Arial" w:hAnsi="Arial" w:cs="Arial"/>
          <w:b/>
          <w:sz w:val="24"/>
          <w:szCs w:val="24"/>
        </w:rPr>
        <w:t xml:space="preserve">Draft Programme as of </w:t>
      </w:r>
      <w:r>
        <w:rPr>
          <w:rFonts w:ascii="Arial" w:hAnsi="Arial" w:cs="Arial"/>
          <w:b/>
          <w:sz w:val="24"/>
          <w:szCs w:val="24"/>
        </w:rPr>
        <w:t>February 2018</w:t>
      </w:r>
    </w:p>
    <w:p w:rsidR="0098705E" w:rsidRPr="00116032" w:rsidRDefault="0098705E" w:rsidP="0098705E">
      <w:pPr>
        <w:ind w:left="-180" w:firstLine="900"/>
        <w:rPr>
          <w:rFonts w:ascii="Arial" w:hAnsi="Arial" w:cs="Arial"/>
          <w:b/>
          <w:sz w:val="24"/>
          <w:szCs w:val="24"/>
        </w:rPr>
      </w:pPr>
      <w:r w:rsidRPr="00116032">
        <w:rPr>
          <w:rFonts w:ascii="Arial" w:hAnsi="Arial" w:cs="Arial"/>
          <w:b/>
          <w:sz w:val="24"/>
          <w:szCs w:val="24"/>
        </w:rPr>
        <w:t>2018</w:t>
      </w:r>
      <w:r>
        <w:rPr>
          <w:rFonts w:ascii="Arial" w:hAnsi="Arial" w:cs="Arial"/>
          <w:b/>
          <w:sz w:val="24"/>
          <w:szCs w:val="24"/>
        </w:rPr>
        <w:t>/19</w:t>
      </w:r>
    </w:p>
    <w:tbl>
      <w:tblPr>
        <w:tblStyle w:val="TableGrid"/>
        <w:tblW w:w="7627" w:type="dxa"/>
        <w:tblInd w:w="698" w:type="dxa"/>
        <w:tblLook w:val="04A0" w:firstRow="1" w:lastRow="0" w:firstColumn="1" w:lastColumn="0" w:noHBand="0" w:noVBand="1"/>
      </w:tblPr>
      <w:tblGrid>
        <w:gridCol w:w="4747"/>
        <w:gridCol w:w="433"/>
        <w:gridCol w:w="2447"/>
      </w:tblGrid>
      <w:tr w:rsidR="0098705E" w:rsidRPr="00C16F3C" w:rsidTr="00673D7B">
        <w:tc>
          <w:tcPr>
            <w:tcW w:w="4747" w:type="dxa"/>
            <w:shd w:val="clear" w:color="auto" w:fill="95B3D7" w:themeFill="accent1" w:themeFillTint="99"/>
          </w:tcPr>
          <w:p w:rsidR="0098705E" w:rsidRPr="00C16F3C" w:rsidRDefault="0098705E" w:rsidP="00673D7B">
            <w:pPr>
              <w:rPr>
                <w:rFonts w:ascii="Arial" w:hAnsi="Arial" w:cs="Arial"/>
                <w:b/>
                <w:sz w:val="24"/>
                <w:szCs w:val="24"/>
              </w:rPr>
            </w:pPr>
            <w:r w:rsidRPr="00C16F3C">
              <w:rPr>
                <w:rFonts w:ascii="Arial" w:hAnsi="Arial" w:cs="Arial"/>
                <w:b/>
                <w:sz w:val="24"/>
                <w:szCs w:val="24"/>
              </w:rPr>
              <w:t>Milestones</w:t>
            </w:r>
          </w:p>
        </w:tc>
        <w:tc>
          <w:tcPr>
            <w:tcW w:w="433" w:type="dxa"/>
            <w:tcBorders>
              <w:right w:val="nil"/>
            </w:tcBorders>
            <w:shd w:val="clear" w:color="auto" w:fill="95B3D7" w:themeFill="accent1" w:themeFillTint="99"/>
          </w:tcPr>
          <w:p w:rsidR="0098705E" w:rsidRPr="00C16F3C" w:rsidRDefault="0098705E" w:rsidP="00673D7B">
            <w:pPr>
              <w:ind w:left="-180"/>
              <w:jc w:val="center"/>
              <w:rPr>
                <w:rFonts w:ascii="Arial" w:hAnsi="Arial" w:cs="Arial"/>
                <w:b/>
                <w:sz w:val="24"/>
                <w:szCs w:val="24"/>
              </w:rPr>
            </w:pPr>
          </w:p>
        </w:tc>
        <w:tc>
          <w:tcPr>
            <w:tcW w:w="2447" w:type="dxa"/>
            <w:tcBorders>
              <w:left w:val="nil"/>
            </w:tcBorders>
            <w:shd w:val="clear" w:color="auto" w:fill="95B3D7" w:themeFill="accent1" w:themeFillTint="99"/>
          </w:tcPr>
          <w:p w:rsidR="0098705E" w:rsidRPr="00C16F3C" w:rsidRDefault="0098705E" w:rsidP="00673D7B">
            <w:pPr>
              <w:ind w:left="-233" w:right="-14"/>
              <w:jc w:val="right"/>
              <w:rPr>
                <w:rFonts w:ascii="Arial" w:hAnsi="Arial" w:cs="Arial"/>
                <w:b/>
                <w:sz w:val="24"/>
                <w:szCs w:val="24"/>
              </w:rPr>
            </w:pPr>
            <w:r w:rsidRPr="00C16F3C">
              <w:rPr>
                <w:rFonts w:ascii="Arial" w:hAnsi="Arial" w:cs="Arial"/>
                <w:b/>
                <w:sz w:val="24"/>
                <w:szCs w:val="24"/>
              </w:rPr>
              <w:t xml:space="preserve">Current </w:t>
            </w:r>
            <w:r>
              <w:rPr>
                <w:rFonts w:ascii="Arial" w:hAnsi="Arial" w:cs="Arial"/>
                <w:b/>
                <w:sz w:val="24"/>
                <w:szCs w:val="24"/>
              </w:rPr>
              <w:t xml:space="preserve">Draft </w:t>
            </w:r>
            <w:r w:rsidRPr="00C16F3C">
              <w:rPr>
                <w:rFonts w:ascii="Arial" w:hAnsi="Arial" w:cs="Arial"/>
                <w:b/>
                <w:sz w:val="24"/>
                <w:szCs w:val="24"/>
              </w:rPr>
              <w:t>Programme</w:t>
            </w:r>
          </w:p>
        </w:tc>
      </w:tr>
      <w:tr w:rsidR="0098705E" w:rsidRPr="00116032" w:rsidTr="00673D7B">
        <w:tc>
          <w:tcPr>
            <w:tcW w:w="4747" w:type="dxa"/>
            <w:shd w:val="clear" w:color="auto" w:fill="95B3D7" w:themeFill="accent1" w:themeFillTint="99"/>
          </w:tcPr>
          <w:p w:rsidR="0098705E" w:rsidRPr="00116032" w:rsidRDefault="0098705E" w:rsidP="00673D7B">
            <w:pPr>
              <w:rPr>
                <w:rFonts w:ascii="Arial" w:hAnsi="Arial" w:cs="Arial"/>
                <w:sz w:val="24"/>
                <w:szCs w:val="24"/>
              </w:rPr>
            </w:pPr>
            <w:r w:rsidRPr="00116032">
              <w:rPr>
                <w:rFonts w:ascii="Arial" w:hAnsi="Arial" w:cs="Arial"/>
                <w:sz w:val="24"/>
                <w:szCs w:val="24"/>
              </w:rPr>
              <w:t>Outline Business Case to TfL</w:t>
            </w:r>
          </w:p>
        </w:tc>
        <w:tc>
          <w:tcPr>
            <w:tcW w:w="433" w:type="dxa"/>
            <w:tcBorders>
              <w:right w:val="nil"/>
            </w:tcBorders>
            <w:shd w:val="clear" w:color="auto" w:fill="95B3D7" w:themeFill="accent1" w:themeFillTint="99"/>
          </w:tcPr>
          <w:p w:rsidR="0098705E" w:rsidRPr="00116032" w:rsidRDefault="0098705E" w:rsidP="00673D7B">
            <w:pPr>
              <w:ind w:left="-180"/>
              <w:jc w:val="center"/>
              <w:rPr>
                <w:rFonts w:ascii="Arial" w:hAnsi="Arial" w:cs="Arial"/>
                <w:sz w:val="24"/>
                <w:szCs w:val="24"/>
              </w:rPr>
            </w:pPr>
          </w:p>
        </w:tc>
        <w:tc>
          <w:tcPr>
            <w:tcW w:w="2447" w:type="dxa"/>
            <w:tcBorders>
              <w:left w:val="nil"/>
            </w:tcBorders>
            <w:shd w:val="clear" w:color="auto" w:fill="95B3D7" w:themeFill="accent1" w:themeFillTint="99"/>
          </w:tcPr>
          <w:p w:rsidR="0098705E" w:rsidRPr="00116032" w:rsidRDefault="0098705E" w:rsidP="00673D7B">
            <w:pPr>
              <w:ind w:left="-233" w:right="-14"/>
              <w:jc w:val="right"/>
              <w:rPr>
                <w:rFonts w:ascii="Arial" w:hAnsi="Arial" w:cs="Arial"/>
                <w:sz w:val="24"/>
                <w:szCs w:val="24"/>
              </w:rPr>
            </w:pPr>
            <w:r w:rsidRPr="00116032">
              <w:rPr>
                <w:rFonts w:ascii="Arial" w:hAnsi="Arial" w:cs="Arial"/>
                <w:sz w:val="24"/>
                <w:szCs w:val="24"/>
              </w:rPr>
              <w:t>Q4 17/18</w:t>
            </w:r>
          </w:p>
        </w:tc>
      </w:tr>
      <w:tr w:rsidR="0098705E" w:rsidRPr="00116032" w:rsidTr="00673D7B">
        <w:tc>
          <w:tcPr>
            <w:tcW w:w="4747" w:type="dxa"/>
            <w:shd w:val="clear" w:color="auto" w:fill="95B3D7" w:themeFill="accent1" w:themeFillTint="99"/>
          </w:tcPr>
          <w:p w:rsidR="0098705E" w:rsidRPr="00116032" w:rsidRDefault="0098705E" w:rsidP="00673D7B">
            <w:pPr>
              <w:rPr>
                <w:rFonts w:ascii="Arial" w:hAnsi="Arial" w:cs="Arial"/>
                <w:sz w:val="24"/>
                <w:szCs w:val="24"/>
              </w:rPr>
            </w:pPr>
            <w:r w:rsidRPr="00116032">
              <w:rPr>
                <w:rFonts w:ascii="Arial" w:hAnsi="Arial" w:cs="Arial"/>
                <w:sz w:val="24"/>
                <w:szCs w:val="24"/>
              </w:rPr>
              <w:t>Outline Business Case to LEP</w:t>
            </w:r>
          </w:p>
        </w:tc>
        <w:tc>
          <w:tcPr>
            <w:tcW w:w="433" w:type="dxa"/>
            <w:tcBorders>
              <w:right w:val="nil"/>
            </w:tcBorders>
            <w:shd w:val="clear" w:color="auto" w:fill="95B3D7" w:themeFill="accent1" w:themeFillTint="99"/>
          </w:tcPr>
          <w:p w:rsidR="0098705E" w:rsidRPr="00116032" w:rsidRDefault="0098705E" w:rsidP="00673D7B">
            <w:pPr>
              <w:ind w:left="-180"/>
              <w:jc w:val="center"/>
              <w:rPr>
                <w:rFonts w:ascii="Arial" w:hAnsi="Arial" w:cs="Arial"/>
                <w:sz w:val="24"/>
                <w:szCs w:val="24"/>
              </w:rPr>
            </w:pPr>
          </w:p>
        </w:tc>
        <w:tc>
          <w:tcPr>
            <w:tcW w:w="2447" w:type="dxa"/>
            <w:tcBorders>
              <w:left w:val="nil"/>
            </w:tcBorders>
            <w:shd w:val="clear" w:color="auto" w:fill="95B3D7" w:themeFill="accent1" w:themeFillTint="99"/>
          </w:tcPr>
          <w:p w:rsidR="0098705E" w:rsidRPr="00116032" w:rsidRDefault="0098705E" w:rsidP="00673D7B">
            <w:pPr>
              <w:ind w:left="-233" w:right="-14"/>
              <w:jc w:val="right"/>
              <w:rPr>
                <w:rFonts w:ascii="Arial" w:hAnsi="Arial" w:cs="Arial"/>
                <w:sz w:val="24"/>
                <w:szCs w:val="24"/>
              </w:rPr>
            </w:pPr>
            <w:r w:rsidRPr="00116032">
              <w:rPr>
                <w:rFonts w:ascii="Arial" w:hAnsi="Arial" w:cs="Arial"/>
                <w:sz w:val="24"/>
                <w:szCs w:val="24"/>
              </w:rPr>
              <w:t>Q4 17/18</w:t>
            </w:r>
          </w:p>
        </w:tc>
      </w:tr>
      <w:tr w:rsidR="0098705E" w:rsidRPr="00116032" w:rsidTr="00673D7B">
        <w:tc>
          <w:tcPr>
            <w:tcW w:w="4747" w:type="dxa"/>
            <w:shd w:val="clear" w:color="auto" w:fill="D99594" w:themeFill="accent2" w:themeFillTint="99"/>
          </w:tcPr>
          <w:p w:rsidR="0098705E" w:rsidRPr="00116032" w:rsidRDefault="0098705E" w:rsidP="00673D7B">
            <w:pPr>
              <w:rPr>
                <w:rFonts w:ascii="Arial" w:hAnsi="Arial" w:cs="Arial"/>
                <w:sz w:val="24"/>
                <w:szCs w:val="24"/>
              </w:rPr>
            </w:pPr>
            <w:r w:rsidRPr="00116032">
              <w:rPr>
                <w:rFonts w:ascii="Arial" w:hAnsi="Arial" w:cs="Arial"/>
                <w:sz w:val="24"/>
                <w:szCs w:val="24"/>
              </w:rPr>
              <w:t>CPO made</w:t>
            </w:r>
          </w:p>
        </w:tc>
        <w:tc>
          <w:tcPr>
            <w:tcW w:w="433" w:type="dxa"/>
            <w:tcBorders>
              <w:right w:val="nil"/>
            </w:tcBorders>
            <w:shd w:val="clear" w:color="auto" w:fill="D99594" w:themeFill="accent2" w:themeFillTint="99"/>
          </w:tcPr>
          <w:p w:rsidR="0098705E" w:rsidRPr="00116032" w:rsidRDefault="0098705E" w:rsidP="00673D7B">
            <w:pPr>
              <w:ind w:left="-180"/>
              <w:jc w:val="center"/>
              <w:rPr>
                <w:rFonts w:ascii="Arial" w:hAnsi="Arial" w:cs="Arial"/>
                <w:sz w:val="24"/>
                <w:szCs w:val="24"/>
              </w:rPr>
            </w:pPr>
          </w:p>
        </w:tc>
        <w:tc>
          <w:tcPr>
            <w:tcW w:w="2447" w:type="dxa"/>
            <w:tcBorders>
              <w:left w:val="nil"/>
            </w:tcBorders>
            <w:shd w:val="clear" w:color="auto" w:fill="D99594" w:themeFill="accent2" w:themeFillTint="99"/>
          </w:tcPr>
          <w:p w:rsidR="0098705E" w:rsidRPr="00116032" w:rsidRDefault="0098705E" w:rsidP="00673D7B">
            <w:pPr>
              <w:ind w:left="-233" w:right="-14"/>
              <w:jc w:val="right"/>
              <w:rPr>
                <w:rFonts w:ascii="Arial" w:hAnsi="Arial" w:cs="Arial"/>
                <w:sz w:val="24"/>
                <w:szCs w:val="24"/>
              </w:rPr>
            </w:pPr>
            <w:r w:rsidRPr="00116032">
              <w:rPr>
                <w:rFonts w:ascii="Arial" w:hAnsi="Arial" w:cs="Arial"/>
                <w:sz w:val="24"/>
                <w:szCs w:val="24"/>
              </w:rPr>
              <w:t>Q4 17/18</w:t>
            </w:r>
          </w:p>
        </w:tc>
      </w:tr>
      <w:tr w:rsidR="0098705E" w:rsidRPr="00116032" w:rsidTr="00673D7B">
        <w:tc>
          <w:tcPr>
            <w:tcW w:w="4747" w:type="dxa"/>
            <w:shd w:val="clear" w:color="auto" w:fill="D99594" w:themeFill="accent2" w:themeFillTint="99"/>
          </w:tcPr>
          <w:p w:rsidR="0098705E" w:rsidRPr="00116032" w:rsidRDefault="0098705E" w:rsidP="00673D7B">
            <w:pPr>
              <w:ind w:left="72"/>
              <w:rPr>
                <w:rFonts w:ascii="Arial" w:hAnsi="Arial" w:cs="Arial"/>
                <w:sz w:val="24"/>
                <w:szCs w:val="24"/>
              </w:rPr>
            </w:pPr>
            <w:r w:rsidRPr="00116032">
              <w:rPr>
                <w:rFonts w:ascii="Arial" w:hAnsi="Arial" w:cs="Arial"/>
                <w:sz w:val="24"/>
                <w:szCs w:val="24"/>
              </w:rPr>
              <w:t>CPO submitted to Secretary of State</w:t>
            </w:r>
          </w:p>
        </w:tc>
        <w:tc>
          <w:tcPr>
            <w:tcW w:w="433" w:type="dxa"/>
            <w:tcBorders>
              <w:right w:val="nil"/>
            </w:tcBorders>
            <w:shd w:val="clear" w:color="auto" w:fill="D99594" w:themeFill="accent2" w:themeFillTint="99"/>
          </w:tcPr>
          <w:p w:rsidR="0098705E" w:rsidRPr="00116032" w:rsidRDefault="0098705E" w:rsidP="00673D7B">
            <w:pPr>
              <w:ind w:left="-180"/>
              <w:jc w:val="center"/>
              <w:rPr>
                <w:rFonts w:ascii="Arial" w:hAnsi="Arial" w:cs="Arial"/>
                <w:sz w:val="24"/>
                <w:szCs w:val="24"/>
              </w:rPr>
            </w:pPr>
          </w:p>
        </w:tc>
        <w:tc>
          <w:tcPr>
            <w:tcW w:w="2447" w:type="dxa"/>
            <w:tcBorders>
              <w:left w:val="nil"/>
            </w:tcBorders>
            <w:shd w:val="clear" w:color="auto" w:fill="D99594" w:themeFill="accent2" w:themeFillTint="99"/>
          </w:tcPr>
          <w:p w:rsidR="0098705E" w:rsidRPr="00116032" w:rsidRDefault="0098705E" w:rsidP="00673D7B">
            <w:pPr>
              <w:ind w:left="-180"/>
              <w:jc w:val="right"/>
              <w:rPr>
                <w:rFonts w:ascii="Arial" w:hAnsi="Arial" w:cs="Arial"/>
                <w:sz w:val="24"/>
                <w:szCs w:val="24"/>
              </w:rPr>
            </w:pPr>
            <w:r w:rsidRPr="00116032">
              <w:rPr>
                <w:rFonts w:ascii="Arial" w:hAnsi="Arial" w:cs="Arial"/>
                <w:sz w:val="24"/>
                <w:szCs w:val="24"/>
              </w:rPr>
              <w:t>Q1 18/19</w:t>
            </w:r>
          </w:p>
        </w:tc>
      </w:tr>
      <w:tr w:rsidR="0098705E" w:rsidRPr="00116032" w:rsidTr="00673D7B">
        <w:tc>
          <w:tcPr>
            <w:tcW w:w="4747" w:type="dxa"/>
            <w:shd w:val="clear" w:color="auto" w:fill="D99594" w:themeFill="accent2" w:themeFillTint="99"/>
          </w:tcPr>
          <w:p w:rsidR="0098705E" w:rsidRPr="00116032" w:rsidRDefault="0098705E" w:rsidP="00673D7B">
            <w:pPr>
              <w:ind w:left="72"/>
              <w:rPr>
                <w:rFonts w:ascii="Arial" w:hAnsi="Arial" w:cs="Arial"/>
                <w:sz w:val="24"/>
                <w:szCs w:val="24"/>
              </w:rPr>
            </w:pPr>
            <w:r w:rsidRPr="00116032">
              <w:rPr>
                <w:rFonts w:ascii="Arial" w:hAnsi="Arial" w:cs="Arial"/>
                <w:sz w:val="24"/>
                <w:szCs w:val="24"/>
              </w:rPr>
              <w:t xml:space="preserve">Secretary of State decision on Inquiry </w:t>
            </w:r>
          </w:p>
        </w:tc>
        <w:tc>
          <w:tcPr>
            <w:tcW w:w="433" w:type="dxa"/>
            <w:tcBorders>
              <w:right w:val="nil"/>
            </w:tcBorders>
            <w:shd w:val="clear" w:color="auto" w:fill="D99594" w:themeFill="accent2" w:themeFillTint="99"/>
          </w:tcPr>
          <w:p w:rsidR="0098705E" w:rsidRPr="00116032" w:rsidRDefault="0098705E" w:rsidP="00673D7B">
            <w:pPr>
              <w:ind w:left="-180"/>
              <w:jc w:val="center"/>
              <w:rPr>
                <w:rFonts w:ascii="Arial" w:hAnsi="Arial" w:cs="Arial"/>
                <w:sz w:val="24"/>
                <w:szCs w:val="24"/>
              </w:rPr>
            </w:pPr>
          </w:p>
        </w:tc>
        <w:tc>
          <w:tcPr>
            <w:tcW w:w="2447" w:type="dxa"/>
            <w:tcBorders>
              <w:left w:val="nil"/>
            </w:tcBorders>
            <w:shd w:val="clear" w:color="auto" w:fill="D99594" w:themeFill="accent2" w:themeFillTint="99"/>
          </w:tcPr>
          <w:p w:rsidR="0098705E" w:rsidRPr="00116032" w:rsidRDefault="0098705E" w:rsidP="00673D7B">
            <w:pPr>
              <w:ind w:left="-180"/>
              <w:jc w:val="right"/>
              <w:rPr>
                <w:rFonts w:ascii="Arial" w:hAnsi="Arial" w:cs="Arial"/>
                <w:sz w:val="24"/>
                <w:szCs w:val="24"/>
              </w:rPr>
            </w:pPr>
            <w:r w:rsidRPr="00116032">
              <w:rPr>
                <w:rFonts w:ascii="Arial" w:hAnsi="Arial" w:cs="Arial"/>
                <w:sz w:val="24"/>
                <w:szCs w:val="24"/>
              </w:rPr>
              <w:t>Q1 18/19</w:t>
            </w:r>
          </w:p>
        </w:tc>
      </w:tr>
      <w:tr w:rsidR="0098705E" w:rsidRPr="00116032" w:rsidTr="00673D7B">
        <w:tc>
          <w:tcPr>
            <w:tcW w:w="4747" w:type="dxa"/>
            <w:shd w:val="clear" w:color="auto" w:fill="D99594" w:themeFill="accent2" w:themeFillTint="99"/>
          </w:tcPr>
          <w:p w:rsidR="0098705E" w:rsidRPr="00116032" w:rsidRDefault="0098705E" w:rsidP="00673D7B">
            <w:pPr>
              <w:ind w:left="72"/>
              <w:rPr>
                <w:rFonts w:ascii="Arial" w:hAnsi="Arial" w:cs="Arial"/>
                <w:sz w:val="24"/>
                <w:szCs w:val="24"/>
              </w:rPr>
            </w:pPr>
            <w:r w:rsidRPr="00116032">
              <w:rPr>
                <w:rFonts w:ascii="Arial" w:hAnsi="Arial" w:cs="Arial"/>
                <w:sz w:val="24"/>
                <w:szCs w:val="24"/>
              </w:rPr>
              <w:t xml:space="preserve">Public Inquiry </w:t>
            </w:r>
          </w:p>
        </w:tc>
        <w:tc>
          <w:tcPr>
            <w:tcW w:w="433" w:type="dxa"/>
            <w:tcBorders>
              <w:right w:val="nil"/>
            </w:tcBorders>
            <w:shd w:val="clear" w:color="auto" w:fill="D99594" w:themeFill="accent2" w:themeFillTint="99"/>
          </w:tcPr>
          <w:p w:rsidR="0098705E" w:rsidRPr="00116032" w:rsidRDefault="0098705E" w:rsidP="00673D7B">
            <w:pPr>
              <w:tabs>
                <w:tab w:val="left" w:pos="477"/>
              </w:tabs>
              <w:ind w:left="-180"/>
              <w:jc w:val="center"/>
              <w:rPr>
                <w:rFonts w:ascii="Arial" w:hAnsi="Arial" w:cs="Arial"/>
                <w:b/>
                <w:sz w:val="24"/>
                <w:szCs w:val="24"/>
              </w:rPr>
            </w:pPr>
            <w:r w:rsidRPr="00116032">
              <w:rPr>
                <w:rFonts w:ascii="Arial" w:hAnsi="Arial" w:cs="Arial"/>
                <w:b/>
                <w:sz w:val="24"/>
                <w:szCs w:val="24"/>
              </w:rPr>
              <w:t>*</w:t>
            </w:r>
          </w:p>
        </w:tc>
        <w:tc>
          <w:tcPr>
            <w:tcW w:w="2447" w:type="dxa"/>
            <w:tcBorders>
              <w:left w:val="nil"/>
            </w:tcBorders>
            <w:shd w:val="clear" w:color="auto" w:fill="D99594" w:themeFill="accent2" w:themeFillTint="99"/>
          </w:tcPr>
          <w:p w:rsidR="0098705E" w:rsidRPr="00116032" w:rsidRDefault="0098705E" w:rsidP="00673D7B">
            <w:pPr>
              <w:tabs>
                <w:tab w:val="left" w:pos="477"/>
              </w:tabs>
              <w:ind w:left="-180"/>
              <w:jc w:val="right"/>
              <w:rPr>
                <w:rFonts w:ascii="Arial" w:hAnsi="Arial" w:cs="Arial"/>
                <w:sz w:val="24"/>
                <w:szCs w:val="24"/>
              </w:rPr>
            </w:pPr>
            <w:r w:rsidRPr="00116032">
              <w:rPr>
                <w:rFonts w:ascii="Arial" w:hAnsi="Arial" w:cs="Arial"/>
                <w:sz w:val="24"/>
                <w:szCs w:val="24"/>
              </w:rPr>
              <w:t>Q3 18/19</w:t>
            </w:r>
          </w:p>
        </w:tc>
      </w:tr>
      <w:tr w:rsidR="0098705E" w:rsidRPr="00116032" w:rsidTr="00673D7B">
        <w:tc>
          <w:tcPr>
            <w:tcW w:w="4747" w:type="dxa"/>
            <w:shd w:val="clear" w:color="auto" w:fill="95B3D7" w:themeFill="accent1" w:themeFillTint="99"/>
          </w:tcPr>
          <w:p w:rsidR="0098705E" w:rsidRPr="00116032" w:rsidRDefault="0098705E" w:rsidP="00673D7B">
            <w:pPr>
              <w:ind w:left="72"/>
              <w:rPr>
                <w:rFonts w:ascii="Arial" w:hAnsi="Arial" w:cs="Arial"/>
                <w:sz w:val="24"/>
                <w:szCs w:val="24"/>
              </w:rPr>
            </w:pPr>
            <w:r w:rsidRPr="00116032">
              <w:rPr>
                <w:rFonts w:ascii="Arial" w:hAnsi="Arial" w:cs="Arial"/>
                <w:sz w:val="24"/>
                <w:szCs w:val="24"/>
              </w:rPr>
              <w:t>Target  Cost Agreed</w:t>
            </w:r>
          </w:p>
        </w:tc>
        <w:tc>
          <w:tcPr>
            <w:tcW w:w="433" w:type="dxa"/>
            <w:tcBorders>
              <w:right w:val="nil"/>
            </w:tcBorders>
            <w:shd w:val="clear" w:color="auto" w:fill="95B3D7" w:themeFill="accent1" w:themeFillTint="99"/>
          </w:tcPr>
          <w:p w:rsidR="0098705E" w:rsidRPr="00116032" w:rsidRDefault="0098705E" w:rsidP="00673D7B">
            <w:pPr>
              <w:ind w:left="-180"/>
              <w:rPr>
                <w:rFonts w:ascii="Arial" w:hAnsi="Arial" w:cs="Arial"/>
                <w:sz w:val="24"/>
                <w:szCs w:val="24"/>
              </w:rPr>
            </w:pPr>
          </w:p>
        </w:tc>
        <w:tc>
          <w:tcPr>
            <w:tcW w:w="2447" w:type="dxa"/>
            <w:tcBorders>
              <w:left w:val="nil"/>
            </w:tcBorders>
            <w:shd w:val="clear" w:color="auto" w:fill="95B3D7" w:themeFill="accent1" w:themeFillTint="99"/>
          </w:tcPr>
          <w:p w:rsidR="0098705E" w:rsidRPr="00116032" w:rsidRDefault="0098705E" w:rsidP="00673D7B">
            <w:pPr>
              <w:ind w:left="-180"/>
              <w:jc w:val="right"/>
              <w:rPr>
                <w:rFonts w:ascii="Arial" w:hAnsi="Arial" w:cs="Arial"/>
                <w:sz w:val="24"/>
                <w:szCs w:val="24"/>
              </w:rPr>
            </w:pPr>
            <w:r w:rsidRPr="00116032">
              <w:rPr>
                <w:rFonts w:ascii="Arial" w:hAnsi="Arial" w:cs="Arial"/>
                <w:sz w:val="24"/>
                <w:szCs w:val="24"/>
              </w:rPr>
              <w:t>Q3 18/19</w:t>
            </w:r>
          </w:p>
        </w:tc>
      </w:tr>
      <w:tr w:rsidR="0098705E" w:rsidRPr="00116032" w:rsidTr="00673D7B">
        <w:tc>
          <w:tcPr>
            <w:tcW w:w="4747" w:type="dxa"/>
            <w:shd w:val="clear" w:color="auto" w:fill="D99594" w:themeFill="accent2" w:themeFillTint="99"/>
          </w:tcPr>
          <w:p w:rsidR="0098705E" w:rsidRPr="00116032" w:rsidRDefault="0098705E" w:rsidP="00673D7B">
            <w:pPr>
              <w:ind w:left="72"/>
              <w:rPr>
                <w:rFonts w:ascii="Arial" w:hAnsi="Arial" w:cs="Arial"/>
                <w:sz w:val="24"/>
                <w:szCs w:val="24"/>
              </w:rPr>
            </w:pPr>
            <w:r w:rsidRPr="00116032">
              <w:rPr>
                <w:rFonts w:ascii="Arial" w:hAnsi="Arial" w:cs="Arial"/>
                <w:sz w:val="24"/>
                <w:szCs w:val="24"/>
              </w:rPr>
              <w:t>Inspectors report made</w:t>
            </w:r>
          </w:p>
        </w:tc>
        <w:tc>
          <w:tcPr>
            <w:tcW w:w="433" w:type="dxa"/>
            <w:tcBorders>
              <w:right w:val="nil"/>
            </w:tcBorders>
            <w:shd w:val="clear" w:color="auto" w:fill="D99594" w:themeFill="accent2" w:themeFillTint="99"/>
          </w:tcPr>
          <w:p w:rsidR="0098705E" w:rsidRPr="00116032" w:rsidRDefault="0098705E" w:rsidP="00673D7B">
            <w:pPr>
              <w:tabs>
                <w:tab w:val="left" w:pos="477"/>
              </w:tabs>
              <w:ind w:left="-180"/>
              <w:jc w:val="center"/>
              <w:rPr>
                <w:rFonts w:ascii="Arial" w:hAnsi="Arial" w:cs="Arial"/>
                <w:b/>
                <w:sz w:val="24"/>
                <w:szCs w:val="24"/>
              </w:rPr>
            </w:pPr>
            <w:r w:rsidRPr="00116032">
              <w:rPr>
                <w:rFonts w:ascii="Arial" w:hAnsi="Arial" w:cs="Arial"/>
                <w:b/>
                <w:sz w:val="24"/>
                <w:szCs w:val="24"/>
              </w:rPr>
              <w:t>*</w:t>
            </w:r>
          </w:p>
        </w:tc>
        <w:tc>
          <w:tcPr>
            <w:tcW w:w="2447" w:type="dxa"/>
            <w:tcBorders>
              <w:left w:val="nil"/>
            </w:tcBorders>
            <w:shd w:val="clear" w:color="auto" w:fill="D99594" w:themeFill="accent2" w:themeFillTint="99"/>
          </w:tcPr>
          <w:p w:rsidR="0098705E" w:rsidRPr="00116032" w:rsidRDefault="0098705E" w:rsidP="00673D7B">
            <w:pPr>
              <w:tabs>
                <w:tab w:val="left" w:pos="477"/>
              </w:tabs>
              <w:ind w:left="-180"/>
              <w:jc w:val="right"/>
              <w:rPr>
                <w:rFonts w:ascii="Arial" w:hAnsi="Arial" w:cs="Arial"/>
                <w:sz w:val="24"/>
                <w:szCs w:val="24"/>
              </w:rPr>
            </w:pPr>
            <w:r w:rsidRPr="00116032">
              <w:rPr>
                <w:rFonts w:ascii="Arial" w:hAnsi="Arial" w:cs="Arial"/>
                <w:sz w:val="24"/>
                <w:szCs w:val="24"/>
              </w:rPr>
              <w:t>Q4 18/19</w:t>
            </w:r>
          </w:p>
        </w:tc>
      </w:tr>
      <w:tr w:rsidR="0098705E" w:rsidRPr="00116032" w:rsidTr="00673D7B">
        <w:tc>
          <w:tcPr>
            <w:tcW w:w="4747" w:type="dxa"/>
            <w:shd w:val="clear" w:color="auto" w:fill="8DB3E2" w:themeFill="text2" w:themeFillTint="66"/>
          </w:tcPr>
          <w:p w:rsidR="0098705E" w:rsidRPr="00116032" w:rsidRDefault="0098705E" w:rsidP="00673D7B">
            <w:pPr>
              <w:ind w:left="72"/>
              <w:rPr>
                <w:rFonts w:ascii="Arial" w:hAnsi="Arial" w:cs="Arial"/>
                <w:sz w:val="24"/>
                <w:szCs w:val="24"/>
              </w:rPr>
            </w:pPr>
            <w:r w:rsidRPr="00116032">
              <w:rPr>
                <w:rFonts w:ascii="Arial" w:hAnsi="Arial" w:cs="Arial"/>
                <w:sz w:val="24"/>
                <w:szCs w:val="24"/>
              </w:rPr>
              <w:t>CD Executive funding Approval</w:t>
            </w:r>
          </w:p>
        </w:tc>
        <w:tc>
          <w:tcPr>
            <w:tcW w:w="433" w:type="dxa"/>
            <w:shd w:val="clear" w:color="auto" w:fill="8DB3E2" w:themeFill="text2" w:themeFillTint="66"/>
          </w:tcPr>
          <w:p w:rsidR="0098705E" w:rsidRPr="00116032" w:rsidRDefault="0098705E" w:rsidP="00673D7B">
            <w:pPr>
              <w:ind w:left="-180"/>
              <w:rPr>
                <w:rFonts w:ascii="Arial" w:hAnsi="Arial" w:cs="Arial"/>
                <w:sz w:val="24"/>
                <w:szCs w:val="24"/>
              </w:rPr>
            </w:pPr>
          </w:p>
        </w:tc>
        <w:tc>
          <w:tcPr>
            <w:tcW w:w="2447" w:type="dxa"/>
            <w:shd w:val="clear" w:color="auto" w:fill="8DB3E2" w:themeFill="text2" w:themeFillTint="66"/>
          </w:tcPr>
          <w:p w:rsidR="0098705E" w:rsidRPr="00116032" w:rsidRDefault="0098705E" w:rsidP="00673D7B">
            <w:pPr>
              <w:ind w:left="-180"/>
              <w:jc w:val="right"/>
              <w:rPr>
                <w:rFonts w:ascii="Arial" w:hAnsi="Arial" w:cs="Arial"/>
                <w:sz w:val="24"/>
                <w:szCs w:val="24"/>
              </w:rPr>
            </w:pPr>
            <w:r w:rsidRPr="00116032">
              <w:rPr>
                <w:rFonts w:ascii="Arial" w:hAnsi="Arial" w:cs="Arial"/>
                <w:sz w:val="24"/>
                <w:szCs w:val="24"/>
              </w:rPr>
              <w:t>Q4 18/19</w:t>
            </w:r>
          </w:p>
        </w:tc>
      </w:tr>
    </w:tbl>
    <w:p w:rsidR="0098705E" w:rsidRDefault="0098705E" w:rsidP="0098705E">
      <w:pPr>
        <w:ind w:left="-180" w:firstLine="900"/>
        <w:rPr>
          <w:rFonts w:ascii="Arial" w:hAnsi="Arial" w:cs="Arial"/>
          <w:b/>
          <w:sz w:val="24"/>
          <w:szCs w:val="24"/>
        </w:rPr>
      </w:pPr>
    </w:p>
    <w:p w:rsidR="0098705E" w:rsidRPr="00116032" w:rsidRDefault="0098705E" w:rsidP="0098705E">
      <w:pPr>
        <w:ind w:left="-180" w:firstLine="900"/>
        <w:rPr>
          <w:rFonts w:ascii="Arial" w:hAnsi="Arial" w:cs="Arial"/>
          <w:b/>
          <w:sz w:val="24"/>
          <w:szCs w:val="24"/>
        </w:rPr>
      </w:pPr>
      <w:r w:rsidRPr="00116032">
        <w:rPr>
          <w:rFonts w:ascii="Arial" w:hAnsi="Arial" w:cs="Arial"/>
          <w:b/>
          <w:sz w:val="24"/>
          <w:szCs w:val="24"/>
        </w:rPr>
        <w:t>2019</w:t>
      </w:r>
      <w:r>
        <w:rPr>
          <w:rFonts w:ascii="Arial" w:hAnsi="Arial" w:cs="Arial"/>
          <w:b/>
          <w:sz w:val="24"/>
          <w:szCs w:val="24"/>
        </w:rPr>
        <w:t>/20</w:t>
      </w:r>
    </w:p>
    <w:tbl>
      <w:tblPr>
        <w:tblStyle w:val="TableGrid"/>
        <w:tblW w:w="7740" w:type="dxa"/>
        <w:tblInd w:w="638" w:type="dxa"/>
        <w:tblLook w:val="04A0" w:firstRow="1" w:lastRow="0" w:firstColumn="1" w:lastColumn="0" w:noHBand="0" w:noVBand="1"/>
      </w:tblPr>
      <w:tblGrid>
        <w:gridCol w:w="4680"/>
        <w:gridCol w:w="500"/>
        <w:gridCol w:w="2560"/>
      </w:tblGrid>
      <w:tr w:rsidR="0098705E" w:rsidRPr="00C16F3C" w:rsidTr="00673D7B">
        <w:tc>
          <w:tcPr>
            <w:tcW w:w="4680" w:type="dxa"/>
            <w:shd w:val="clear" w:color="auto" w:fill="95B3D7" w:themeFill="accent1" w:themeFillTint="99"/>
            <w:vAlign w:val="center"/>
          </w:tcPr>
          <w:p w:rsidR="0098705E" w:rsidRPr="00C16F3C" w:rsidRDefault="0098705E" w:rsidP="00673D7B">
            <w:pPr>
              <w:ind w:left="72"/>
              <w:rPr>
                <w:rFonts w:ascii="Arial" w:hAnsi="Arial" w:cs="Arial"/>
                <w:b/>
                <w:sz w:val="24"/>
                <w:szCs w:val="24"/>
              </w:rPr>
            </w:pPr>
            <w:r w:rsidRPr="00C16F3C">
              <w:rPr>
                <w:rFonts w:ascii="Arial" w:hAnsi="Arial" w:cs="Arial"/>
                <w:b/>
                <w:sz w:val="24"/>
                <w:szCs w:val="24"/>
              </w:rPr>
              <w:t>Milestones</w:t>
            </w:r>
          </w:p>
        </w:tc>
        <w:tc>
          <w:tcPr>
            <w:tcW w:w="500" w:type="dxa"/>
            <w:tcBorders>
              <w:right w:val="nil"/>
            </w:tcBorders>
            <w:shd w:val="clear" w:color="auto" w:fill="95B3D7" w:themeFill="accent1" w:themeFillTint="99"/>
            <w:vAlign w:val="center"/>
          </w:tcPr>
          <w:p w:rsidR="0098705E" w:rsidRPr="00C16F3C" w:rsidRDefault="0098705E" w:rsidP="00673D7B">
            <w:pPr>
              <w:ind w:left="-180"/>
              <w:rPr>
                <w:rFonts w:ascii="Arial" w:hAnsi="Arial" w:cs="Arial"/>
                <w:b/>
                <w:sz w:val="24"/>
                <w:szCs w:val="24"/>
              </w:rPr>
            </w:pPr>
          </w:p>
        </w:tc>
        <w:tc>
          <w:tcPr>
            <w:tcW w:w="2560" w:type="dxa"/>
            <w:tcBorders>
              <w:left w:val="nil"/>
            </w:tcBorders>
            <w:shd w:val="clear" w:color="auto" w:fill="95B3D7" w:themeFill="accent1" w:themeFillTint="99"/>
            <w:vAlign w:val="center"/>
          </w:tcPr>
          <w:p w:rsidR="0098705E" w:rsidRPr="00C16F3C" w:rsidRDefault="0098705E" w:rsidP="00673D7B">
            <w:pPr>
              <w:ind w:left="-180"/>
              <w:jc w:val="right"/>
              <w:rPr>
                <w:rFonts w:ascii="Arial" w:hAnsi="Arial" w:cs="Arial"/>
                <w:b/>
                <w:sz w:val="24"/>
                <w:szCs w:val="24"/>
              </w:rPr>
            </w:pPr>
            <w:r w:rsidRPr="00C16F3C">
              <w:rPr>
                <w:rFonts w:ascii="Arial" w:hAnsi="Arial" w:cs="Arial"/>
                <w:b/>
                <w:sz w:val="24"/>
                <w:szCs w:val="24"/>
              </w:rPr>
              <w:t>Current</w:t>
            </w:r>
            <w:r>
              <w:rPr>
                <w:rFonts w:ascii="Arial" w:hAnsi="Arial" w:cs="Arial"/>
                <w:b/>
                <w:sz w:val="24"/>
                <w:szCs w:val="24"/>
              </w:rPr>
              <w:t xml:space="preserve"> Draft </w:t>
            </w:r>
            <w:r w:rsidRPr="00C16F3C">
              <w:rPr>
                <w:rFonts w:ascii="Arial" w:hAnsi="Arial" w:cs="Arial"/>
                <w:b/>
                <w:sz w:val="24"/>
                <w:szCs w:val="24"/>
              </w:rPr>
              <w:t xml:space="preserve"> Programme</w:t>
            </w:r>
          </w:p>
        </w:tc>
      </w:tr>
      <w:tr w:rsidR="0098705E" w:rsidRPr="00116032" w:rsidTr="00673D7B">
        <w:tc>
          <w:tcPr>
            <w:tcW w:w="4680" w:type="dxa"/>
            <w:shd w:val="clear" w:color="auto" w:fill="D99594" w:themeFill="accent2" w:themeFillTint="99"/>
            <w:vAlign w:val="center"/>
          </w:tcPr>
          <w:p w:rsidR="0098705E" w:rsidRPr="00116032" w:rsidRDefault="0098705E" w:rsidP="00673D7B">
            <w:pPr>
              <w:ind w:left="72"/>
              <w:rPr>
                <w:rFonts w:ascii="Arial" w:hAnsi="Arial" w:cs="Arial"/>
                <w:sz w:val="24"/>
                <w:szCs w:val="24"/>
              </w:rPr>
            </w:pPr>
            <w:r w:rsidRPr="00116032">
              <w:rPr>
                <w:rFonts w:ascii="Arial" w:hAnsi="Arial" w:cs="Arial"/>
                <w:sz w:val="24"/>
                <w:szCs w:val="24"/>
              </w:rPr>
              <w:t>Secretary of State Confirms CPO</w:t>
            </w:r>
          </w:p>
        </w:tc>
        <w:tc>
          <w:tcPr>
            <w:tcW w:w="500" w:type="dxa"/>
            <w:tcBorders>
              <w:right w:val="nil"/>
            </w:tcBorders>
            <w:shd w:val="clear" w:color="auto" w:fill="D99594" w:themeFill="accent2" w:themeFillTint="99"/>
            <w:vAlign w:val="center"/>
          </w:tcPr>
          <w:p w:rsidR="0098705E" w:rsidRPr="00116032" w:rsidRDefault="0098705E" w:rsidP="00673D7B">
            <w:pPr>
              <w:tabs>
                <w:tab w:val="left" w:pos="312"/>
                <w:tab w:val="left" w:pos="477"/>
              </w:tabs>
              <w:ind w:left="-180"/>
              <w:jc w:val="center"/>
              <w:rPr>
                <w:rFonts w:ascii="Arial" w:hAnsi="Arial" w:cs="Arial"/>
                <w:b/>
                <w:sz w:val="24"/>
                <w:szCs w:val="24"/>
              </w:rPr>
            </w:pPr>
            <w:r w:rsidRPr="00116032">
              <w:rPr>
                <w:rFonts w:ascii="Arial" w:hAnsi="Arial" w:cs="Arial"/>
                <w:b/>
                <w:sz w:val="24"/>
                <w:szCs w:val="24"/>
              </w:rPr>
              <w:t>*</w:t>
            </w:r>
          </w:p>
        </w:tc>
        <w:tc>
          <w:tcPr>
            <w:tcW w:w="2560" w:type="dxa"/>
            <w:tcBorders>
              <w:left w:val="nil"/>
            </w:tcBorders>
            <w:shd w:val="clear" w:color="auto" w:fill="D99594" w:themeFill="accent2" w:themeFillTint="99"/>
            <w:vAlign w:val="center"/>
          </w:tcPr>
          <w:p w:rsidR="0098705E" w:rsidRPr="00116032" w:rsidRDefault="0098705E" w:rsidP="00673D7B">
            <w:pPr>
              <w:tabs>
                <w:tab w:val="left" w:pos="312"/>
                <w:tab w:val="left" w:pos="477"/>
              </w:tabs>
              <w:ind w:left="-180"/>
              <w:jc w:val="right"/>
              <w:rPr>
                <w:rFonts w:ascii="Arial" w:hAnsi="Arial" w:cs="Arial"/>
                <w:sz w:val="24"/>
                <w:szCs w:val="24"/>
              </w:rPr>
            </w:pPr>
            <w:r w:rsidRPr="00116032">
              <w:rPr>
                <w:rFonts w:ascii="Arial" w:hAnsi="Arial" w:cs="Arial"/>
                <w:sz w:val="24"/>
                <w:szCs w:val="24"/>
              </w:rPr>
              <w:t>Q1 19/20</w:t>
            </w:r>
          </w:p>
        </w:tc>
      </w:tr>
      <w:tr w:rsidR="0098705E" w:rsidRPr="00116032" w:rsidTr="00673D7B">
        <w:tc>
          <w:tcPr>
            <w:tcW w:w="4680" w:type="dxa"/>
            <w:shd w:val="clear" w:color="auto" w:fill="95B3D7" w:themeFill="accent1" w:themeFillTint="99"/>
            <w:vAlign w:val="center"/>
          </w:tcPr>
          <w:p w:rsidR="0098705E" w:rsidRPr="00116032" w:rsidRDefault="0098705E" w:rsidP="00673D7B">
            <w:pPr>
              <w:ind w:left="72"/>
              <w:rPr>
                <w:rFonts w:ascii="Arial" w:hAnsi="Arial" w:cs="Arial"/>
                <w:sz w:val="24"/>
                <w:szCs w:val="24"/>
              </w:rPr>
            </w:pPr>
            <w:r w:rsidRPr="00116032">
              <w:rPr>
                <w:rFonts w:ascii="Arial" w:hAnsi="Arial" w:cs="Arial"/>
                <w:sz w:val="24"/>
                <w:szCs w:val="24"/>
              </w:rPr>
              <w:t>Final Business Case to TfL</w:t>
            </w:r>
          </w:p>
        </w:tc>
        <w:tc>
          <w:tcPr>
            <w:tcW w:w="500" w:type="dxa"/>
            <w:tcBorders>
              <w:right w:val="nil"/>
            </w:tcBorders>
            <w:shd w:val="clear" w:color="auto" w:fill="95B3D7" w:themeFill="accent1" w:themeFillTint="99"/>
            <w:vAlign w:val="center"/>
          </w:tcPr>
          <w:p w:rsidR="0098705E" w:rsidRPr="00116032" w:rsidRDefault="0098705E" w:rsidP="00673D7B">
            <w:pPr>
              <w:ind w:left="-180"/>
              <w:jc w:val="center"/>
              <w:rPr>
                <w:rFonts w:ascii="Arial" w:hAnsi="Arial" w:cs="Arial"/>
                <w:b/>
                <w:sz w:val="24"/>
                <w:szCs w:val="24"/>
              </w:rPr>
            </w:pPr>
            <w:r w:rsidRPr="00116032">
              <w:rPr>
                <w:rFonts w:ascii="Arial" w:hAnsi="Arial" w:cs="Arial"/>
                <w:b/>
                <w:sz w:val="24"/>
                <w:szCs w:val="24"/>
              </w:rPr>
              <w:t>**</w:t>
            </w:r>
          </w:p>
        </w:tc>
        <w:tc>
          <w:tcPr>
            <w:tcW w:w="2560" w:type="dxa"/>
            <w:tcBorders>
              <w:left w:val="nil"/>
            </w:tcBorders>
            <w:shd w:val="clear" w:color="auto" w:fill="95B3D7" w:themeFill="accent1" w:themeFillTint="99"/>
            <w:vAlign w:val="center"/>
          </w:tcPr>
          <w:p w:rsidR="0098705E" w:rsidRPr="00116032" w:rsidRDefault="0098705E" w:rsidP="00673D7B">
            <w:pPr>
              <w:ind w:left="-180"/>
              <w:jc w:val="right"/>
              <w:rPr>
                <w:rFonts w:ascii="Arial" w:hAnsi="Arial" w:cs="Arial"/>
                <w:sz w:val="24"/>
                <w:szCs w:val="24"/>
              </w:rPr>
            </w:pPr>
            <w:r w:rsidRPr="00116032">
              <w:rPr>
                <w:rFonts w:ascii="Arial" w:hAnsi="Arial" w:cs="Arial"/>
                <w:sz w:val="24"/>
                <w:szCs w:val="24"/>
              </w:rPr>
              <w:t>Q1 19/20</w:t>
            </w:r>
          </w:p>
        </w:tc>
      </w:tr>
      <w:tr w:rsidR="0098705E" w:rsidRPr="00116032" w:rsidTr="00673D7B">
        <w:tc>
          <w:tcPr>
            <w:tcW w:w="4680" w:type="dxa"/>
            <w:shd w:val="clear" w:color="auto" w:fill="95B3D7" w:themeFill="accent1" w:themeFillTint="99"/>
            <w:vAlign w:val="center"/>
          </w:tcPr>
          <w:p w:rsidR="0098705E" w:rsidRPr="00116032" w:rsidRDefault="0098705E" w:rsidP="00673D7B">
            <w:pPr>
              <w:ind w:left="72"/>
              <w:rPr>
                <w:rFonts w:ascii="Arial" w:hAnsi="Arial" w:cs="Arial"/>
                <w:sz w:val="24"/>
                <w:szCs w:val="24"/>
              </w:rPr>
            </w:pPr>
            <w:r w:rsidRPr="00116032">
              <w:rPr>
                <w:rFonts w:ascii="Arial" w:hAnsi="Arial" w:cs="Arial"/>
                <w:sz w:val="24"/>
                <w:szCs w:val="24"/>
              </w:rPr>
              <w:t>Final Business Case to LEP</w:t>
            </w:r>
          </w:p>
        </w:tc>
        <w:tc>
          <w:tcPr>
            <w:tcW w:w="500" w:type="dxa"/>
            <w:tcBorders>
              <w:right w:val="nil"/>
            </w:tcBorders>
            <w:shd w:val="clear" w:color="auto" w:fill="95B3D7" w:themeFill="accent1" w:themeFillTint="99"/>
            <w:vAlign w:val="center"/>
          </w:tcPr>
          <w:p w:rsidR="0098705E" w:rsidRPr="00116032" w:rsidRDefault="0098705E" w:rsidP="00673D7B">
            <w:pPr>
              <w:ind w:left="-180"/>
              <w:jc w:val="center"/>
              <w:rPr>
                <w:rFonts w:ascii="Arial" w:hAnsi="Arial" w:cs="Arial"/>
                <w:b/>
                <w:sz w:val="24"/>
                <w:szCs w:val="24"/>
              </w:rPr>
            </w:pPr>
            <w:r w:rsidRPr="00116032">
              <w:rPr>
                <w:rFonts w:ascii="Arial" w:hAnsi="Arial" w:cs="Arial"/>
                <w:b/>
                <w:sz w:val="24"/>
                <w:szCs w:val="24"/>
              </w:rPr>
              <w:t>**</w:t>
            </w:r>
          </w:p>
        </w:tc>
        <w:tc>
          <w:tcPr>
            <w:tcW w:w="2560" w:type="dxa"/>
            <w:tcBorders>
              <w:left w:val="nil"/>
            </w:tcBorders>
            <w:shd w:val="clear" w:color="auto" w:fill="95B3D7" w:themeFill="accent1" w:themeFillTint="99"/>
            <w:vAlign w:val="center"/>
          </w:tcPr>
          <w:p w:rsidR="0098705E" w:rsidRPr="00116032" w:rsidRDefault="0098705E" w:rsidP="00673D7B">
            <w:pPr>
              <w:ind w:left="-180"/>
              <w:jc w:val="right"/>
              <w:rPr>
                <w:rFonts w:ascii="Arial" w:hAnsi="Arial" w:cs="Arial"/>
                <w:sz w:val="24"/>
                <w:szCs w:val="24"/>
              </w:rPr>
            </w:pPr>
            <w:r w:rsidRPr="00116032">
              <w:rPr>
                <w:rFonts w:ascii="Arial" w:hAnsi="Arial" w:cs="Arial"/>
                <w:sz w:val="24"/>
                <w:szCs w:val="24"/>
              </w:rPr>
              <w:t>Q1 19/20</w:t>
            </w:r>
          </w:p>
        </w:tc>
      </w:tr>
      <w:tr w:rsidR="0098705E" w:rsidRPr="00116032" w:rsidTr="00673D7B">
        <w:tc>
          <w:tcPr>
            <w:tcW w:w="4680" w:type="dxa"/>
            <w:shd w:val="clear" w:color="auto" w:fill="95B3D7" w:themeFill="accent1" w:themeFillTint="99"/>
            <w:vAlign w:val="center"/>
          </w:tcPr>
          <w:p w:rsidR="0098705E" w:rsidRPr="00116032" w:rsidRDefault="0098705E" w:rsidP="00673D7B">
            <w:pPr>
              <w:ind w:left="72"/>
              <w:rPr>
                <w:rFonts w:ascii="Arial" w:hAnsi="Arial" w:cs="Arial"/>
                <w:sz w:val="24"/>
                <w:szCs w:val="24"/>
              </w:rPr>
            </w:pPr>
            <w:r w:rsidRPr="00116032">
              <w:rPr>
                <w:rFonts w:ascii="Arial" w:hAnsi="Arial" w:cs="Arial"/>
                <w:sz w:val="24"/>
                <w:szCs w:val="24"/>
              </w:rPr>
              <w:t xml:space="preserve">Final Business Case approval by </w:t>
            </w:r>
            <w:proofErr w:type="spellStart"/>
            <w:r w:rsidRPr="00116032">
              <w:rPr>
                <w:rFonts w:ascii="Arial" w:hAnsi="Arial" w:cs="Arial"/>
                <w:sz w:val="24"/>
                <w:szCs w:val="24"/>
              </w:rPr>
              <w:t>DfT</w:t>
            </w:r>
            <w:proofErr w:type="spellEnd"/>
          </w:p>
        </w:tc>
        <w:tc>
          <w:tcPr>
            <w:tcW w:w="500" w:type="dxa"/>
            <w:tcBorders>
              <w:right w:val="nil"/>
            </w:tcBorders>
            <w:shd w:val="clear" w:color="auto" w:fill="95B3D7" w:themeFill="accent1" w:themeFillTint="99"/>
            <w:vAlign w:val="center"/>
          </w:tcPr>
          <w:p w:rsidR="0098705E" w:rsidRPr="00116032" w:rsidRDefault="0098705E" w:rsidP="00673D7B">
            <w:pPr>
              <w:ind w:left="-180"/>
              <w:jc w:val="center"/>
              <w:rPr>
                <w:rFonts w:ascii="Arial" w:hAnsi="Arial" w:cs="Arial"/>
                <w:b/>
                <w:sz w:val="24"/>
                <w:szCs w:val="24"/>
              </w:rPr>
            </w:pPr>
            <w:r w:rsidRPr="00116032">
              <w:rPr>
                <w:rFonts w:ascii="Arial" w:hAnsi="Arial" w:cs="Arial"/>
                <w:b/>
                <w:sz w:val="24"/>
                <w:szCs w:val="24"/>
              </w:rPr>
              <w:t>+</w:t>
            </w:r>
          </w:p>
        </w:tc>
        <w:tc>
          <w:tcPr>
            <w:tcW w:w="2560" w:type="dxa"/>
            <w:tcBorders>
              <w:left w:val="nil"/>
            </w:tcBorders>
            <w:shd w:val="clear" w:color="auto" w:fill="95B3D7" w:themeFill="accent1" w:themeFillTint="99"/>
            <w:vAlign w:val="center"/>
          </w:tcPr>
          <w:p w:rsidR="0098705E" w:rsidRPr="00116032" w:rsidRDefault="0098705E" w:rsidP="00673D7B">
            <w:pPr>
              <w:ind w:left="-180"/>
              <w:jc w:val="right"/>
              <w:rPr>
                <w:rFonts w:ascii="Arial" w:hAnsi="Arial" w:cs="Arial"/>
                <w:sz w:val="24"/>
                <w:szCs w:val="24"/>
              </w:rPr>
            </w:pPr>
            <w:r w:rsidRPr="00116032">
              <w:rPr>
                <w:rFonts w:ascii="Arial" w:hAnsi="Arial" w:cs="Arial"/>
                <w:sz w:val="24"/>
                <w:szCs w:val="24"/>
              </w:rPr>
              <w:t>Q1 19/20</w:t>
            </w:r>
          </w:p>
        </w:tc>
      </w:tr>
      <w:tr w:rsidR="0098705E" w:rsidRPr="00116032" w:rsidTr="00673D7B">
        <w:tc>
          <w:tcPr>
            <w:tcW w:w="4680" w:type="dxa"/>
            <w:shd w:val="clear" w:color="auto" w:fill="D99594" w:themeFill="accent2" w:themeFillTint="99"/>
            <w:vAlign w:val="center"/>
          </w:tcPr>
          <w:p w:rsidR="0098705E" w:rsidRPr="00116032" w:rsidRDefault="0098705E" w:rsidP="00673D7B">
            <w:pPr>
              <w:ind w:left="72"/>
              <w:rPr>
                <w:rFonts w:ascii="Arial" w:hAnsi="Arial" w:cs="Arial"/>
                <w:sz w:val="24"/>
                <w:szCs w:val="24"/>
              </w:rPr>
            </w:pPr>
            <w:r w:rsidRPr="00116032">
              <w:rPr>
                <w:rFonts w:ascii="Arial" w:hAnsi="Arial" w:cs="Arial"/>
                <w:sz w:val="24"/>
                <w:szCs w:val="24"/>
              </w:rPr>
              <w:t>GVD Notice Served</w:t>
            </w:r>
          </w:p>
        </w:tc>
        <w:tc>
          <w:tcPr>
            <w:tcW w:w="500" w:type="dxa"/>
            <w:tcBorders>
              <w:right w:val="nil"/>
            </w:tcBorders>
            <w:shd w:val="clear" w:color="auto" w:fill="D99594" w:themeFill="accent2" w:themeFillTint="99"/>
            <w:vAlign w:val="center"/>
          </w:tcPr>
          <w:p w:rsidR="0098705E" w:rsidRPr="00116032" w:rsidRDefault="0098705E" w:rsidP="00673D7B">
            <w:pPr>
              <w:tabs>
                <w:tab w:val="left" w:pos="312"/>
                <w:tab w:val="left" w:pos="477"/>
              </w:tabs>
              <w:ind w:left="-180"/>
              <w:jc w:val="center"/>
              <w:rPr>
                <w:rFonts w:ascii="Arial" w:hAnsi="Arial" w:cs="Arial"/>
                <w:b/>
                <w:sz w:val="24"/>
                <w:szCs w:val="24"/>
              </w:rPr>
            </w:pPr>
          </w:p>
        </w:tc>
        <w:tc>
          <w:tcPr>
            <w:tcW w:w="2560" w:type="dxa"/>
            <w:tcBorders>
              <w:left w:val="nil"/>
            </w:tcBorders>
            <w:shd w:val="clear" w:color="auto" w:fill="D99594" w:themeFill="accent2" w:themeFillTint="99"/>
            <w:vAlign w:val="center"/>
          </w:tcPr>
          <w:p w:rsidR="0098705E" w:rsidRPr="00116032" w:rsidRDefault="0098705E" w:rsidP="00673D7B">
            <w:pPr>
              <w:tabs>
                <w:tab w:val="left" w:pos="312"/>
                <w:tab w:val="left" w:pos="477"/>
              </w:tabs>
              <w:ind w:left="-180"/>
              <w:jc w:val="right"/>
              <w:rPr>
                <w:rFonts w:ascii="Arial" w:hAnsi="Arial" w:cs="Arial"/>
                <w:sz w:val="24"/>
                <w:szCs w:val="24"/>
              </w:rPr>
            </w:pPr>
            <w:r w:rsidRPr="00116032">
              <w:rPr>
                <w:rFonts w:ascii="Arial" w:hAnsi="Arial" w:cs="Arial"/>
                <w:sz w:val="24"/>
                <w:szCs w:val="24"/>
              </w:rPr>
              <w:t>Q2 19/20</w:t>
            </w:r>
          </w:p>
        </w:tc>
      </w:tr>
      <w:tr w:rsidR="0098705E" w:rsidRPr="00116032" w:rsidTr="00673D7B">
        <w:tc>
          <w:tcPr>
            <w:tcW w:w="4680" w:type="dxa"/>
            <w:shd w:val="clear" w:color="auto" w:fill="FABF8F" w:themeFill="accent6" w:themeFillTint="99"/>
            <w:vAlign w:val="center"/>
          </w:tcPr>
          <w:p w:rsidR="0098705E" w:rsidRPr="00116032" w:rsidRDefault="0098705E" w:rsidP="00673D7B">
            <w:pPr>
              <w:ind w:left="72"/>
              <w:rPr>
                <w:rFonts w:ascii="Arial" w:hAnsi="Arial" w:cs="Arial"/>
                <w:sz w:val="24"/>
                <w:szCs w:val="24"/>
              </w:rPr>
            </w:pPr>
            <w:r w:rsidRPr="00116032">
              <w:rPr>
                <w:rFonts w:ascii="Arial" w:hAnsi="Arial" w:cs="Arial"/>
                <w:sz w:val="24"/>
                <w:szCs w:val="24"/>
              </w:rPr>
              <w:t xml:space="preserve">Award Build Contract </w:t>
            </w:r>
          </w:p>
        </w:tc>
        <w:tc>
          <w:tcPr>
            <w:tcW w:w="500" w:type="dxa"/>
            <w:tcBorders>
              <w:right w:val="nil"/>
            </w:tcBorders>
            <w:shd w:val="clear" w:color="auto" w:fill="FABF8F" w:themeFill="accent6" w:themeFillTint="99"/>
            <w:vAlign w:val="center"/>
          </w:tcPr>
          <w:p w:rsidR="0098705E" w:rsidRPr="00116032" w:rsidRDefault="0098705E" w:rsidP="00673D7B">
            <w:pPr>
              <w:ind w:left="-180"/>
              <w:rPr>
                <w:rFonts w:ascii="Arial" w:hAnsi="Arial" w:cs="Arial"/>
                <w:sz w:val="24"/>
                <w:szCs w:val="24"/>
              </w:rPr>
            </w:pPr>
          </w:p>
        </w:tc>
        <w:tc>
          <w:tcPr>
            <w:tcW w:w="2560" w:type="dxa"/>
            <w:tcBorders>
              <w:left w:val="nil"/>
            </w:tcBorders>
            <w:shd w:val="clear" w:color="auto" w:fill="FABF8F" w:themeFill="accent6" w:themeFillTint="99"/>
            <w:vAlign w:val="center"/>
          </w:tcPr>
          <w:p w:rsidR="0098705E" w:rsidRPr="00116032" w:rsidRDefault="0098705E" w:rsidP="00673D7B">
            <w:pPr>
              <w:ind w:left="-180"/>
              <w:jc w:val="right"/>
              <w:rPr>
                <w:rFonts w:ascii="Arial" w:hAnsi="Arial" w:cs="Arial"/>
                <w:sz w:val="24"/>
                <w:szCs w:val="24"/>
              </w:rPr>
            </w:pPr>
            <w:r w:rsidRPr="00116032">
              <w:rPr>
                <w:rFonts w:ascii="Arial" w:hAnsi="Arial" w:cs="Arial"/>
                <w:sz w:val="24"/>
                <w:szCs w:val="24"/>
              </w:rPr>
              <w:t>Q2 19/20</w:t>
            </w:r>
          </w:p>
        </w:tc>
      </w:tr>
      <w:tr w:rsidR="0098705E" w:rsidRPr="00116032" w:rsidTr="00673D7B">
        <w:tc>
          <w:tcPr>
            <w:tcW w:w="4680" w:type="dxa"/>
            <w:shd w:val="clear" w:color="auto" w:fill="D99594" w:themeFill="accent2" w:themeFillTint="99"/>
            <w:vAlign w:val="center"/>
          </w:tcPr>
          <w:p w:rsidR="0098705E" w:rsidRPr="00116032" w:rsidRDefault="0098705E" w:rsidP="00673D7B">
            <w:pPr>
              <w:ind w:left="72"/>
              <w:rPr>
                <w:rFonts w:ascii="Arial" w:hAnsi="Arial" w:cs="Arial"/>
                <w:sz w:val="24"/>
                <w:szCs w:val="24"/>
              </w:rPr>
            </w:pPr>
            <w:r w:rsidRPr="00116032">
              <w:rPr>
                <w:rFonts w:ascii="Arial" w:hAnsi="Arial" w:cs="Arial"/>
                <w:sz w:val="24"/>
                <w:szCs w:val="24"/>
              </w:rPr>
              <w:t>Entry to land</w:t>
            </w:r>
          </w:p>
        </w:tc>
        <w:tc>
          <w:tcPr>
            <w:tcW w:w="500" w:type="dxa"/>
            <w:tcBorders>
              <w:right w:val="nil"/>
            </w:tcBorders>
            <w:shd w:val="clear" w:color="auto" w:fill="D99594" w:themeFill="accent2" w:themeFillTint="99"/>
            <w:vAlign w:val="center"/>
          </w:tcPr>
          <w:p w:rsidR="0098705E" w:rsidRPr="00116032" w:rsidRDefault="0098705E" w:rsidP="00673D7B">
            <w:pPr>
              <w:tabs>
                <w:tab w:val="left" w:pos="312"/>
                <w:tab w:val="left" w:pos="477"/>
              </w:tabs>
              <w:ind w:left="-180"/>
              <w:jc w:val="center"/>
              <w:rPr>
                <w:rFonts w:ascii="Arial" w:hAnsi="Arial" w:cs="Arial"/>
                <w:b/>
                <w:sz w:val="24"/>
                <w:szCs w:val="24"/>
              </w:rPr>
            </w:pPr>
          </w:p>
        </w:tc>
        <w:tc>
          <w:tcPr>
            <w:tcW w:w="2560" w:type="dxa"/>
            <w:tcBorders>
              <w:left w:val="nil"/>
            </w:tcBorders>
            <w:shd w:val="clear" w:color="auto" w:fill="D99594" w:themeFill="accent2" w:themeFillTint="99"/>
            <w:vAlign w:val="center"/>
          </w:tcPr>
          <w:p w:rsidR="0098705E" w:rsidRPr="00116032" w:rsidRDefault="0098705E" w:rsidP="00673D7B">
            <w:pPr>
              <w:tabs>
                <w:tab w:val="left" w:pos="312"/>
                <w:tab w:val="left" w:pos="477"/>
              </w:tabs>
              <w:ind w:left="-180"/>
              <w:jc w:val="right"/>
              <w:rPr>
                <w:rFonts w:ascii="Arial" w:hAnsi="Arial" w:cs="Arial"/>
                <w:sz w:val="24"/>
                <w:szCs w:val="24"/>
              </w:rPr>
            </w:pPr>
            <w:r w:rsidRPr="00116032">
              <w:rPr>
                <w:rFonts w:ascii="Arial" w:hAnsi="Arial" w:cs="Arial"/>
                <w:sz w:val="24"/>
                <w:szCs w:val="24"/>
              </w:rPr>
              <w:t>Q3 19/20</w:t>
            </w:r>
          </w:p>
        </w:tc>
      </w:tr>
      <w:tr w:rsidR="0098705E" w:rsidRPr="00116032" w:rsidTr="00673D7B">
        <w:tc>
          <w:tcPr>
            <w:tcW w:w="4680" w:type="dxa"/>
            <w:shd w:val="clear" w:color="auto" w:fill="FABF8F" w:themeFill="accent6" w:themeFillTint="99"/>
            <w:vAlign w:val="center"/>
          </w:tcPr>
          <w:p w:rsidR="0098705E" w:rsidRPr="00116032" w:rsidRDefault="0098705E" w:rsidP="00673D7B">
            <w:pPr>
              <w:ind w:left="72"/>
              <w:rPr>
                <w:rFonts w:ascii="Arial" w:hAnsi="Arial" w:cs="Arial"/>
                <w:sz w:val="24"/>
                <w:szCs w:val="24"/>
              </w:rPr>
            </w:pPr>
            <w:r w:rsidRPr="00116032">
              <w:rPr>
                <w:rFonts w:ascii="Arial" w:hAnsi="Arial" w:cs="Arial"/>
                <w:sz w:val="24"/>
                <w:szCs w:val="24"/>
              </w:rPr>
              <w:t>Start on Site</w:t>
            </w:r>
          </w:p>
        </w:tc>
        <w:tc>
          <w:tcPr>
            <w:tcW w:w="500" w:type="dxa"/>
            <w:tcBorders>
              <w:right w:val="nil"/>
            </w:tcBorders>
            <w:shd w:val="clear" w:color="auto" w:fill="FABF8F" w:themeFill="accent6" w:themeFillTint="99"/>
            <w:vAlign w:val="center"/>
          </w:tcPr>
          <w:p w:rsidR="0098705E" w:rsidRPr="00116032" w:rsidRDefault="0098705E" w:rsidP="00673D7B">
            <w:pPr>
              <w:ind w:left="-180"/>
              <w:rPr>
                <w:rFonts w:ascii="Arial" w:hAnsi="Arial" w:cs="Arial"/>
                <w:sz w:val="24"/>
                <w:szCs w:val="24"/>
              </w:rPr>
            </w:pPr>
          </w:p>
        </w:tc>
        <w:tc>
          <w:tcPr>
            <w:tcW w:w="2560" w:type="dxa"/>
            <w:tcBorders>
              <w:left w:val="nil"/>
            </w:tcBorders>
            <w:shd w:val="clear" w:color="auto" w:fill="FABF8F" w:themeFill="accent6" w:themeFillTint="99"/>
            <w:vAlign w:val="center"/>
          </w:tcPr>
          <w:p w:rsidR="0098705E" w:rsidRPr="00116032" w:rsidRDefault="0098705E" w:rsidP="00673D7B">
            <w:pPr>
              <w:ind w:left="-180"/>
              <w:jc w:val="right"/>
              <w:rPr>
                <w:rFonts w:ascii="Arial" w:hAnsi="Arial" w:cs="Arial"/>
                <w:sz w:val="24"/>
                <w:szCs w:val="24"/>
              </w:rPr>
            </w:pPr>
            <w:r w:rsidRPr="00116032">
              <w:rPr>
                <w:rFonts w:ascii="Arial" w:hAnsi="Arial" w:cs="Arial"/>
                <w:sz w:val="24"/>
                <w:szCs w:val="24"/>
              </w:rPr>
              <w:t>Q3 19/20</w:t>
            </w:r>
          </w:p>
        </w:tc>
      </w:tr>
    </w:tbl>
    <w:tbl>
      <w:tblPr>
        <w:tblStyle w:val="TableGrid"/>
        <w:tblpPr w:leftFromText="180" w:rightFromText="180" w:vertAnchor="text" w:horzAnchor="margin" w:tblpXSpec="center" w:tblpY="324"/>
        <w:tblW w:w="8079" w:type="dxa"/>
        <w:tblLook w:val="04A0" w:firstRow="1" w:lastRow="0" w:firstColumn="1" w:lastColumn="0" w:noHBand="0" w:noVBand="1"/>
      </w:tblPr>
      <w:tblGrid>
        <w:gridCol w:w="1833"/>
        <w:gridCol w:w="1710"/>
        <w:gridCol w:w="2410"/>
        <w:gridCol w:w="2126"/>
      </w:tblGrid>
      <w:tr w:rsidR="0098705E" w:rsidRPr="00116032" w:rsidTr="00673D7B">
        <w:tc>
          <w:tcPr>
            <w:tcW w:w="1833" w:type="dxa"/>
            <w:shd w:val="clear" w:color="auto" w:fill="B2A1C7" w:themeFill="accent4" w:themeFillTint="99"/>
          </w:tcPr>
          <w:p w:rsidR="0098705E" w:rsidRPr="00116032" w:rsidRDefault="0098705E" w:rsidP="00673D7B">
            <w:pPr>
              <w:jc w:val="center"/>
              <w:rPr>
                <w:rFonts w:ascii="Arial" w:hAnsi="Arial" w:cs="Arial"/>
                <w:sz w:val="24"/>
                <w:szCs w:val="24"/>
              </w:rPr>
            </w:pPr>
            <w:r w:rsidRPr="00116032">
              <w:rPr>
                <w:rFonts w:ascii="Arial" w:hAnsi="Arial" w:cs="Arial"/>
                <w:sz w:val="24"/>
                <w:szCs w:val="24"/>
              </w:rPr>
              <w:t>Planning</w:t>
            </w:r>
          </w:p>
        </w:tc>
        <w:tc>
          <w:tcPr>
            <w:tcW w:w="1710" w:type="dxa"/>
            <w:shd w:val="clear" w:color="auto" w:fill="95B3D7" w:themeFill="accent1" w:themeFillTint="99"/>
          </w:tcPr>
          <w:p w:rsidR="0098705E" w:rsidRPr="00116032" w:rsidRDefault="0098705E" w:rsidP="00673D7B">
            <w:pPr>
              <w:jc w:val="center"/>
              <w:rPr>
                <w:rFonts w:ascii="Arial" w:hAnsi="Arial" w:cs="Arial"/>
                <w:sz w:val="24"/>
                <w:szCs w:val="24"/>
              </w:rPr>
            </w:pPr>
            <w:r w:rsidRPr="00116032">
              <w:rPr>
                <w:rFonts w:ascii="Arial" w:hAnsi="Arial" w:cs="Arial"/>
                <w:sz w:val="24"/>
                <w:szCs w:val="24"/>
              </w:rPr>
              <w:t>Funding</w:t>
            </w:r>
          </w:p>
        </w:tc>
        <w:tc>
          <w:tcPr>
            <w:tcW w:w="2410" w:type="dxa"/>
            <w:shd w:val="clear" w:color="auto" w:fill="D99594" w:themeFill="accent2" w:themeFillTint="99"/>
          </w:tcPr>
          <w:p w:rsidR="0098705E" w:rsidRPr="00116032" w:rsidRDefault="0098705E" w:rsidP="00673D7B">
            <w:pPr>
              <w:jc w:val="center"/>
              <w:rPr>
                <w:rFonts w:ascii="Arial" w:hAnsi="Arial" w:cs="Arial"/>
                <w:sz w:val="24"/>
                <w:szCs w:val="24"/>
              </w:rPr>
            </w:pPr>
            <w:r w:rsidRPr="00116032">
              <w:rPr>
                <w:rFonts w:ascii="Arial" w:hAnsi="Arial" w:cs="Arial"/>
                <w:sz w:val="24"/>
                <w:szCs w:val="24"/>
              </w:rPr>
              <w:t>Land Assembly</w:t>
            </w:r>
          </w:p>
        </w:tc>
        <w:tc>
          <w:tcPr>
            <w:tcW w:w="2126" w:type="dxa"/>
            <w:shd w:val="clear" w:color="auto" w:fill="FABF8F" w:themeFill="accent6" w:themeFillTint="99"/>
          </w:tcPr>
          <w:p w:rsidR="0098705E" w:rsidRPr="00116032" w:rsidRDefault="0098705E" w:rsidP="00673D7B">
            <w:pPr>
              <w:jc w:val="center"/>
              <w:rPr>
                <w:rFonts w:ascii="Arial" w:hAnsi="Arial" w:cs="Arial"/>
                <w:sz w:val="24"/>
                <w:szCs w:val="24"/>
              </w:rPr>
            </w:pPr>
            <w:r w:rsidRPr="00116032">
              <w:rPr>
                <w:rFonts w:ascii="Arial" w:hAnsi="Arial" w:cs="Arial"/>
                <w:sz w:val="24"/>
                <w:szCs w:val="24"/>
              </w:rPr>
              <w:t>Build</w:t>
            </w:r>
          </w:p>
        </w:tc>
      </w:tr>
    </w:tbl>
    <w:p w:rsidR="0098705E" w:rsidRPr="00116032" w:rsidRDefault="0098705E" w:rsidP="0098705E">
      <w:pPr>
        <w:ind w:left="-180"/>
        <w:rPr>
          <w:rFonts w:ascii="Arial" w:hAnsi="Arial" w:cs="Arial"/>
          <w:sz w:val="24"/>
          <w:szCs w:val="24"/>
        </w:rPr>
      </w:pPr>
    </w:p>
    <w:p w:rsidR="0098705E" w:rsidRPr="00116032" w:rsidRDefault="0098705E" w:rsidP="0098705E">
      <w:pPr>
        <w:ind w:firstLine="720"/>
        <w:rPr>
          <w:rFonts w:ascii="Arial" w:hAnsi="Arial" w:cs="Arial"/>
          <w:sz w:val="24"/>
          <w:szCs w:val="24"/>
        </w:rPr>
      </w:pPr>
    </w:p>
    <w:p w:rsidR="0098705E" w:rsidRPr="00BE6AE7" w:rsidRDefault="0098705E" w:rsidP="0098705E">
      <w:pPr>
        <w:spacing w:after="120" w:line="240" w:lineRule="auto"/>
        <w:ind w:firstLine="720"/>
        <w:rPr>
          <w:rFonts w:ascii="Arial" w:hAnsi="Arial" w:cs="Arial"/>
          <w:sz w:val="20"/>
          <w:szCs w:val="20"/>
        </w:rPr>
      </w:pPr>
      <w:r w:rsidRPr="00BE6AE7">
        <w:rPr>
          <w:rFonts w:ascii="Arial" w:hAnsi="Arial" w:cs="Arial"/>
          <w:sz w:val="20"/>
          <w:szCs w:val="20"/>
        </w:rPr>
        <w:t>*   Assumed dates from guidance and previous experience</w:t>
      </w:r>
    </w:p>
    <w:p w:rsidR="0098705E" w:rsidRPr="00BE6AE7" w:rsidRDefault="0098705E" w:rsidP="0098705E">
      <w:pPr>
        <w:spacing w:after="120" w:line="240" w:lineRule="auto"/>
        <w:ind w:firstLine="720"/>
        <w:rPr>
          <w:rFonts w:ascii="Arial" w:hAnsi="Arial" w:cs="Arial"/>
          <w:sz w:val="20"/>
          <w:szCs w:val="20"/>
        </w:rPr>
      </w:pPr>
      <w:r w:rsidRPr="00BE6AE7">
        <w:rPr>
          <w:rFonts w:ascii="Arial" w:hAnsi="Arial" w:cs="Arial"/>
          <w:sz w:val="20"/>
          <w:szCs w:val="20"/>
        </w:rPr>
        <w:t>** Possible dates meeting schedule not published</w:t>
      </w:r>
    </w:p>
    <w:p w:rsidR="0098705E" w:rsidRPr="00BE6AE7" w:rsidRDefault="0098705E" w:rsidP="0098705E">
      <w:pPr>
        <w:spacing w:after="120" w:line="240" w:lineRule="auto"/>
        <w:ind w:firstLine="720"/>
        <w:rPr>
          <w:rFonts w:ascii="Arial" w:hAnsi="Arial" w:cs="Arial"/>
          <w:sz w:val="20"/>
          <w:szCs w:val="20"/>
        </w:rPr>
      </w:pPr>
      <w:r w:rsidRPr="00BE6AE7">
        <w:rPr>
          <w:rFonts w:ascii="Arial" w:hAnsi="Arial" w:cs="Arial"/>
          <w:sz w:val="20"/>
          <w:szCs w:val="20"/>
        </w:rPr>
        <w:t xml:space="preserve">+   Time taken by </w:t>
      </w:r>
      <w:proofErr w:type="spellStart"/>
      <w:r w:rsidRPr="00BE6AE7">
        <w:rPr>
          <w:rFonts w:ascii="Arial" w:hAnsi="Arial" w:cs="Arial"/>
          <w:sz w:val="20"/>
          <w:szCs w:val="20"/>
        </w:rPr>
        <w:t>DfT</w:t>
      </w:r>
      <w:proofErr w:type="spellEnd"/>
      <w:r w:rsidRPr="00BE6AE7">
        <w:rPr>
          <w:rFonts w:ascii="Arial" w:hAnsi="Arial" w:cs="Arial"/>
          <w:sz w:val="20"/>
          <w:szCs w:val="20"/>
        </w:rPr>
        <w:t xml:space="preserve"> to make decision is without guidance</w:t>
      </w:r>
    </w:p>
    <w:p w:rsidR="0098705E" w:rsidRDefault="0098705E" w:rsidP="0098705E">
      <w:r>
        <w:t> </w:t>
      </w:r>
    </w:p>
    <w:p w:rsidR="00D3134F" w:rsidRPr="00D3134F" w:rsidRDefault="007A0E3A" w:rsidP="00D3134F">
      <w:pPr>
        <w:spacing w:after="0" w:line="240" w:lineRule="auto"/>
        <w:rPr>
          <w:rFonts w:ascii="Arial" w:hAnsi="Arial" w:cs="Arial"/>
          <w:sz w:val="24"/>
          <w:szCs w:val="24"/>
        </w:rPr>
      </w:pPr>
    </w:p>
    <w:p w:rsidR="00054E0A" w:rsidRPr="009D435E" w:rsidRDefault="007A0E3A" w:rsidP="00D3134F">
      <w:pPr>
        <w:pStyle w:val="NoSpacing"/>
        <w:jc w:val="both"/>
        <w:rPr>
          <w:rFonts w:cs="Arial"/>
          <w:szCs w:val="24"/>
        </w:rPr>
      </w:pPr>
    </w:p>
    <w:sectPr w:rsidR="00054E0A" w:rsidRPr="009D435E">
      <w:headerReference w:type="default" r:id="rId8"/>
      <w:footerReference w:type="even" r:id="rId9"/>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F19" w:rsidRDefault="0098705E">
      <w:pPr>
        <w:spacing w:after="0" w:line="240" w:lineRule="auto"/>
      </w:pPr>
      <w:r>
        <w:separator/>
      </w:r>
    </w:p>
  </w:endnote>
  <w:endnote w:type="continuationSeparator" w:id="0">
    <w:p w:rsidR="00AF1F19" w:rsidRDefault="0098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7A0E3A" w:rsidP="00440F6A">
    <w:pPr>
      <w:pStyle w:val="Footer"/>
    </w:pPr>
    <w:bookmarkStart w:id="1" w:name="aliashAdvancedFooterprot1FooterEvenPages"/>
  </w:p>
  <w:bookmarkEnd w:id="1"/>
  <w:p w:rsidR="006A1583" w:rsidRDefault="007A0E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7A0E3A" w:rsidP="00440F6A">
    <w:pPr>
      <w:pStyle w:val="Footer"/>
    </w:pPr>
    <w:bookmarkStart w:id="2" w:name="aliashAdvancedFooterprotec1FooterPrimary"/>
  </w:p>
  <w:bookmarkEnd w:id="2"/>
  <w:p w:rsidR="006A1583" w:rsidRDefault="007A0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7A0E3A" w:rsidP="00440F6A">
    <w:pPr>
      <w:pStyle w:val="Footer"/>
    </w:pPr>
    <w:bookmarkStart w:id="3" w:name="aliashAdvancedFooterprot1FooterFirstPage"/>
  </w:p>
  <w:bookmarkEnd w:id="3"/>
  <w:p w:rsidR="006A1583" w:rsidRDefault="007A0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F19" w:rsidRDefault="0098705E">
      <w:pPr>
        <w:spacing w:after="0" w:line="240" w:lineRule="auto"/>
      </w:pPr>
      <w:r>
        <w:separator/>
      </w:r>
    </w:p>
  </w:footnote>
  <w:footnote w:type="continuationSeparator" w:id="0">
    <w:p w:rsidR="00AF1F19" w:rsidRDefault="00987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98705E" w:rsidP="00054E0A">
    <w:pPr>
      <w:pStyle w:val="Header"/>
    </w:pPr>
    <w:r w:rsidRPr="00DA16C4">
      <w:rPr>
        <w:noProof/>
        <w:lang w:eastAsia="en-GB"/>
      </w:rPr>
      <w:drawing>
        <wp:inline distT="0" distB="0" distL="0" distR="0">
          <wp:extent cx="3802566" cy="991710"/>
          <wp:effectExtent l="0" t="0" r="0" b="0"/>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128715" name="Picture 1" descr="\\psf\Home\Desktop\CD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02783" cy="9917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2B64"/>
    <w:multiLevelType w:val="hybridMultilevel"/>
    <w:tmpl w:val="C31CC5EA"/>
    <w:lvl w:ilvl="0" w:tplc="84B6A60A">
      <w:start w:val="1"/>
      <w:numFmt w:val="bullet"/>
      <w:lvlText w:val=""/>
      <w:lvlJc w:val="left"/>
      <w:pPr>
        <w:ind w:left="720" w:hanging="360"/>
      </w:pPr>
      <w:rPr>
        <w:rFonts w:ascii="Symbol" w:hAnsi="Symbol" w:hint="default"/>
      </w:rPr>
    </w:lvl>
    <w:lvl w:ilvl="1" w:tplc="756663D2" w:tentative="1">
      <w:start w:val="1"/>
      <w:numFmt w:val="bullet"/>
      <w:lvlText w:val="o"/>
      <w:lvlJc w:val="left"/>
      <w:pPr>
        <w:ind w:left="1440" w:hanging="360"/>
      </w:pPr>
      <w:rPr>
        <w:rFonts w:ascii="Courier New" w:hAnsi="Courier New" w:cs="Courier New" w:hint="default"/>
      </w:rPr>
    </w:lvl>
    <w:lvl w:ilvl="2" w:tplc="D4903A26" w:tentative="1">
      <w:start w:val="1"/>
      <w:numFmt w:val="bullet"/>
      <w:lvlText w:val=""/>
      <w:lvlJc w:val="left"/>
      <w:pPr>
        <w:ind w:left="2160" w:hanging="360"/>
      </w:pPr>
      <w:rPr>
        <w:rFonts w:ascii="Wingdings" w:hAnsi="Wingdings" w:hint="default"/>
      </w:rPr>
    </w:lvl>
    <w:lvl w:ilvl="3" w:tplc="508EF26C" w:tentative="1">
      <w:start w:val="1"/>
      <w:numFmt w:val="bullet"/>
      <w:lvlText w:val=""/>
      <w:lvlJc w:val="left"/>
      <w:pPr>
        <w:ind w:left="2880" w:hanging="360"/>
      </w:pPr>
      <w:rPr>
        <w:rFonts w:ascii="Symbol" w:hAnsi="Symbol" w:hint="default"/>
      </w:rPr>
    </w:lvl>
    <w:lvl w:ilvl="4" w:tplc="C8BEDF24" w:tentative="1">
      <w:start w:val="1"/>
      <w:numFmt w:val="bullet"/>
      <w:lvlText w:val="o"/>
      <w:lvlJc w:val="left"/>
      <w:pPr>
        <w:ind w:left="3600" w:hanging="360"/>
      </w:pPr>
      <w:rPr>
        <w:rFonts w:ascii="Courier New" w:hAnsi="Courier New" w:cs="Courier New" w:hint="default"/>
      </w:rPr>
    </w:lvl>
    <w:lvl w:ilvl="5" w:tplc="17DCC62C" w:tentative="1">
      <w:start w:val="1"/>
      <w:numFmt w:val="bullet"/>
      <w:lvlText w:val=""/>
      <w:lvlJc w:val="left"/>
      <w:pPr>
        <w:ind w:left="4320" w:hanging="360"/>
      </w:pPr>
      <w:rPr>
        <w:rFonts w:ascii="Wingdings" w:hAnsi="Wingdings" w:hint="default"/>
      </w:rPr>
    </w:lvl>
    <w:lvl w:ilvl="6" w:tplc="07B63120" w:tentative="1">
      <w:start w:val="1"/>
      <w:numFmt w:val="bullet"/>
      <w:lvlText w:val=""/>
      <w:lvlJc w:val="left"/>
      <w:pPr>
        <w:ind w:left="5040" w:hanging="360"/>
      </w:pPr>
      <w:rPr>
        <w:rFonts w:ascii="Symbol" w:hAnsi="Symbol" w:hint="default"/>
      </w:rPr>
    </w:lvl>
    <w:lvl w:ilvl="7" w:tplc="0164DAEE" w:tentative="1">
      <w:start w:val="1"/>
      <w:numFmt w:val="bullet"/>
      <w:lvlText w:val="o"/>
      <w:lvlJc w:val="left"/>
      <w:pPr>
        <w:ind w:left="5760" w:hanging="360"/>
      </w:pPr>
      <w:rPr>
        <w:rFonts w:ascii="Courier New" w:hAnsi="Courier New" w:cs="Courier New" w:hint="default"/>
      </w:rPr>
    </w:lvl>
    <w:lvl w:ilvl="8" w:tplc="6F5EEC74" w:tentative="1">
      <w:start w:val="1"/>
      <w:numFmt w:val="bullet"/>
      <w:lvlText w:val=""/>
      <w:lvlJc w:val="left"/>
      <w:pPr>
        <w:ind w:left="6480" w:hanging="360"/>
      </w:pPr>
      <w:rPr>
        <w:rFonts w:ascii="Wingdings" w:hAnsi="Wingdings" w:hint="default"/>
      </w:rPr>
    </w:lvl>
  </w:abstractNum>
  <w:abstractNum w:abstractNumId="1" w15:restartNumberingAfterBreak="0">
    <w:nsid w:val="0F060D89"/>
    <w:multiLevelType w:val="hybridMultilevel"/>
    <w:tmpl w:val="C5D645D8"/>
    <w:lvl w:ilvl="0" w:tplc="36581716">
      <w:start w:val="1"/>
      <w:numFmt w:val="bullet"/>
      <w:lvlText w:val=""/>
      <w:lvlJc w:val="left"/>
      <w:pPr>
        <w:ind w:left="720" w:hanging="360"/>
      </w:pPr>
      <w:rPr>
        <w:rFonts w:ascii="Symbol" w:hAnsi="Symbol" w:hint="default"/>
      </w:rPr>
    </w:lvl>
    <w:lvl w:ilvl="1" w:tplc="067C3B0E" w:tentative="1">
      <w:start w:val="1"/>
      <w:numFmt w:val="bullet"/>
      <w:lvlText w:val="o"/>
      <w:lvlJc w:val="left"/>
      <w:pPr>
        <w:ind w:left="1440" w:hanging="360"/>
      </w:pPr>
      <w:rPr>
        <w:rFonts w:ascii="Courier New" w:hAnsi="Courier New" w:cs="Courier New" w:hint="default"/>
      </w:rPr>
    </w:lvl>
    <w:lvl w:ilvl="2" w:tplc="F280E362" w:tentative="1">
      <w:start w:val="1"/>
      <w:numFmt w:val="bullet"/>
      <w:lvlText w:val=""/>
      <w:lvlJc w:val="left"/>
      <w:pPr>
        <w:ind w:left="2160" w:hanging="360"/>
      </w:pPr>
      <w:rPr>
        <w:rFonts w:ascii="Wingdings" w:hAnsi="Wingdings" w:hint="default"/>
      </w:rPr>
    </w:lvl>
    <w:lvl w:ilvl="3" w:tplc="E05A6CAA" w:tentative="1">
      <w:start w:val="1"/>
      <w:numFmt w:val="bullet"/>
      <w:lvlText w:val=""/>
      <w:lvlJc w:val="left"/>
      <w:pPr>
        <w:ind w:left="2880" w:hanging="360"/>
      </w:pPr>
      <w:rPr>
        <w:rFonts w:ascii="Symbol" w:hAnsi="Symbol" w:hint="default"/>
      </w:rPr>
    </w:lvl>
    <w:lvl w:ilvl="4" w:tplc="52FE6A0C" w:tentative="1">
      <w:start w:val="1"/>
      <w:numFmt w:val="bullet"/>
      <w:lvlText w:val="o"/>
      <w:lvlJc w:val="left"/>
      <w:pPr>
        <w:ind w:left="3600" w:hanging="360"/>
      </w:pPr>
      <w:rPr>
        <w:rFonts w:ascii="Courier New" w:hAnsi="Courier New" w:cs="Courier New" w:hint="default"/>
      </w:rPr>
    </w:lvl>
    <w:lvl w:ilvl="5" w:tplc="E2EC2B8A" w:tentative="1">
      <w:start w:val="1"/>
      <w:numFmt w:val="bullet"/>
      <w:lvlText w:val=""/>
      <w:lvlJc w:val="left"/>
      <w:pPr>
        <w:ind w:left="4320" w:hanging="360"/>
      </w:pPr>
      <w:rPr>
        <w:rFonts w:ascii="Wingdings" w:hAnsi="Wingdings" w:hint="default"/>
      </w:rPr>
    </w:lvl>
    <w:lvl w:ilvl="6" w:tplc="D1EAA396" w:tentative="1">
      <w:start w:val="1"/>
      <w:numFmt w:val="bullet"/>
      <w:lvlText w:val=""/>
      <w:lvlJc w:val="left"/>
      <w:pPr>
        <w:ind w:left="5040" w:hanging="360"/>
      </w:pPr>
      <w:rPr>
        <w:rFonts w:ascii="Symbol" w:hAnsi="Symbol" w:hint="default"/>
      </w:rPr>
    </w:lvl>
    <w:lvl w:ilvl="7" w:tplc="62D05AB2" w:tentative="1">
      <w:start w:val="1"/>
      <w:numFmt w:val="bullet"/>
      <w:lvlText w:val="o"/>
      <w:lvlJc w:val="left"/>
      <w:pPr>
        <w:ind w:left="5760" w:hanging="360"/>
      </w:pPr>
      <w:rPr>
        <w:rFonts w:ascii="Courier New" w:hAnsi="Courier New" w:cs="Courier New" w:hint="default"/>
      </w:rPr>
    </w:lvl>
    <w:lvl w:ilvl="8" w:tplc="D4322F78" w:tentative="1">
      <w:start w:val="1"/>
      <w:numFmt w:val="bullet"/>
      <w:lvlText w:val=""/>
      <w:lvlJc w:val="left"/>
      <w:pPr>
        <w:ind w:left="6480" w:hanging="360"/>
      </w:pPr>
      <w:rPr>
        <w:rFonts w:ascii="Wingdings" w:hAnsi="Wingdings" w:hint="default"/>
      </w:rPr>
    </w:lvl>
  </w:abstractNum>
  <w:abstractNum w:abstractNumId="2" w15:restartNumberingAfterBreak="0">
    <w:nsid w:val="1529788C"/>
    <w:multiLevelType w:val="hybridMultilevel"/>
    <w:tmpl w:val="A4A01B66"/>
    <w:lvl w:ilvl="0" w:tplc="09E291F0">
      <w:start w:val="1"/>
      <w:numFmt w:val="bullet"/>
      <w:lvlText w:val=""/>
      <w:lvlJc w:val="left"/>
      <w:pPr>
        <w:ind w:left="720" w:hanging="360"/>
      </w:pPr>
      <w:rPr>
        <w:rFonts w:ascii="Symbol" w:hAnsi="Symbol" w:hint="default"/>
      </w:rPr>
    </w:lvl>
    <w:lvl w:ilvl="1" w:tplc="094E7852" w:tentative="1">
      <w:start w:val="1"/>
      <w:numFmt w:val="bullet"/>
      <w:lvlText w:val="o"/>
      <w:lvlJc w:val="left"/>
      <w:pPr>
        <w:ind w:left="1440" w:hanging="360"/>
      </w:pPr>
      <w:rPr>
        <w:rFonts w:ascii="Courier New" w:hAnsi="Courier New" w:cs="Courier New" w:hint="default"/>
      </w:rPr>
    </w:lvl>
    <w:lvl w:ilvl="2" w:tplc="456C985E" w:tentative="1">
      <w:start w:val="1"/>
      <w:numFmt w:val="bullet"/>
      <w:lvlText w:val=""/>
      <w:lvlJc w:val="left"/>
      <w:pPr>
        <w:ind w:left="2160" w:hanging="360"/>
      </w:pPr>
      <w:rPr>
        <w:rFonts w:ascii="Wingdings" w:hAnsi="Wingdings" w:hint="default"/>
      </w:rPr>
    </w:lvl>
    <w:lvl w:ilvl="3" w:tplc="E3E096C8" w:tentative="1">
      <w:start w:val="1"/>
      <w:numFmt w:val="bullet"/>
      <w:lvlText w:val=""/>
      <w:lvlJc w:val="left"/>
      <w:pPr>
        <w:ind w:left="2880" w:hanging="360"/>
      </w:pPr>
      <w:rPr>
        <w:rFonts w:ascii="Symbol" w:hAnsi="Symbol" w:hint="default"/>
      </w:rPr>
    </w:lvl>
    <w:lvl w:ilvl="4" w:tplc="E1F885F6" w:tentative="1">
      <w:start w:val="1"/>
      <w:numFmt w:val="bullet"/>
      <w:lvlText w:val="o"/>
      <w:lvlJc w:val="left"/>
      <w:pPr>
        <w:ind w:left="3600" w:hanging="360"/>
      </w:pPr>
      <w:rPr>
        <w:rFonts w:ascii="Courier New" w:hAnsi="Courier New" w:cs="Courier New" w:hint="default"/>
      </w:rPr>
    </w:lvl>
    <w:lvl w:ilvl="5" w:tplc="D7B0018A" w:tentative="1">
      <w:start w:val="1"/>
      <w:numFmt w:val="bullet"/>
      <w:lvlText w:val=""/>
      <w:lvlJc w:val="left"/>
      <w:pPr>
        <w:ind w:left="4320" w:hanging="360"/>
      </w:pPr>
      <w:rPr>
        <w:rFonts w:ascii="Wingdings" w:hAnsi="Wingdings" w:hint="default"/>
      </w:rPr>
    </w:lvl>
    <w:lvl w:ilvl="6" w:tplc="5A04A9D8" w:tentative="1">
      <w:start w:val="1"/>
      <w:numFmt w:val="bullet"/>
      <w:lvlText w:val=""/>
      <w:lvlJc w:val="left"/>
      <w:pPr>
        <w:ind w:left="5040" w:hanging="360"/>
      </w:pPr>
      <w:rPr>
        <w:rFonts w:ascii="Symbol" w:hAnsi="Symbol" w:hint="default"/>
      </w:rPr>
    </w:lvl>
    <w:lvl w:ilvl="7" w:tplc="3ABA6994" w:tentative="1">
      <w:start w:val="1"/>
      <w:numFmt w:val="bullet"/>
      <w:lvlText w:val="o"/>
      <w:lvlJc w:val="left"/>
      <w:pPr>
        <w:ind w:left="5760" w:hanging="360"/>
      </w:pPr>
      <w:rPr>
        <w:rFonts w:ascii="Courier New" w:hAnsi="Courier New" w:cs="Courier New" w:hint="default"/>
      </w:rPr>
    </w:lvl>
    <w:lvl w:ilvl="8" w:tplc="F3A48A9C" w:tentative="1">
      <w:start w:val="1"/>
      <w:numFmt w:val="bullet"/>
      <w:lvlText w:val=""/>
      <w:lvlJc w:val="left"/>
      <w:pPr>
        <w:ind w:left="6480" w:hanging="360"/>
      </w:pPr>
      <w:rPr>
        <w:rFonts w:ascii="Wingdings" w:hAnsi="Wingdings" w:hint="default"/>
      </w:rPr>
    </w:lvl>
  </w:abstractNum>
  <w:abstractNum w:abstractNumId="3" w15:restartNumberingAfterBreak="0">
    <w:nsid w:val="6D521F60"/>
    <w:multiLevelType w:val="multilevel"/>
    <w:tmpl w:val="D4AEA02A"/>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748E2F9B"/>
    <w:multiLevelType w:val="hybridMultilevel"/>
    <w:tmpl w:val="35DED682"/>
    <w:lvl w:ilvl="0" w:tplc="3E78EF28">
      <w:start w:val="1"/>
      <w:numFmt w:val="bullet"/>
      <w:lvlText w:val=""/>
      <w:lvlJc w:val="left"/>
      <w:pPr>
        <w:ind w:left="720" w:hanging="360"/>
      </w:pPr>
      <w:rPr>
        <w:rFonts w:ascii="Symbol" w:hAnsi="Symbol" w:hint="default"/>
      </w:rPr>
    </w:lvl>
    <w:lvl w:ilvl="1" w:tplc="6818F4F4" w:tentative="1">
      <w:start w:val="1"/>
      <w:numFmt w:val="bullet"/>
      <w:lvlText w:val="o"/>
      <w:lvlJc w:val="left"/>
      <w:pPr>
        <w:ind w:left="1440" w:hanging="360"/>
      </w:pPr>
      <w:rPr>
        <w:rFonts w:ascii="Courier New" w:hAnsi="Courier New" w:cs="Courier New" w:hint="default"/>
      </w:rPr>
    </w:lvl>
    <w:lvl w:ilvl="2" w:tplc="D4B6C9F8" w:tentative="1">
      <w:start w:val="1"/>
      <w:numFmt w:val="bullet"/>
      <w:lvlText w:val=""/>
      <w:lvlJc w:val="left"/>
      <w:pPr>
        <w:ind w:left="2160" w:hanging="360"/>
      </w:pPr>
      <w:rPr>
        <w:rFonts w:ascii="Wingdings" w:hAnsi="Wingdings" w:hint="default"/>
      </w:rPr>
    </w:lvl>
    <w:lvl w:ilvl="3" w:tplc="D2C21902" w:tentative="1">
      <w:start w:val="1"/>
      <w:numFmt w:val="bullet"/>
      <w:lvlText w:val=""/>
      <w:lvlJc w:val="left"/>
      <w:pPr>
        <w:ind w:left="2880" w:hanging="360"/>
      </w:pPr>
      <w:rPr>
        <w:rFonts w:ascii="Symbol" w:hAnsi="Symbol" w:hint="default"/>
      </w:rPr>
    </w:lvl>
    <w:lvl w:ilvl="4" w:tplc="D972A1CC" w:tentative="1">
      <w:start w:val="1"/>
      <w:numFmt w:val="bullet"/>
      <w:lvlText w:val="o"/>
      <w:lvlJc w:val="left"/>
      <w:pPr>
        <w:ind w:left="3600" w:hanging="360"/>
      </w:pPr>
      <w:rPr>
        <w:rFonts w:ascii="Courier New" w:hAnsi="Courier New" w:cs="Courier New" w:hint="default"/>
      </w:rPr>
    </w:lvl>
    <w:lvl w:ilvl="5" w:tplc="B40EF452" w:tentative="1">
      <w:start w:val="1"/>
      <w:numFmt w:val="bullet"/>
      <w:lvlText w:val=""/>
      <w:lvlJc w:val="left"/>
      <w:pPr>
        <w:ind w:left="4320" w:hanging="360"/>
      </w:pPr>
      <w:rPr>
        <w:rFonts w:ascii="Wingdings" w:hAnsi="Wingdings" w:hint="default"/>
      </w:rPr>
    </w:lvl>
    <w:lvl w:ilvl="6" w:tplc="A84C1F3E" w:tentative="1">
      <w:start w:val="1"/>
      <w:numFmt w:val="bullet"/>
      <w:lvlText w:val=""/>
      <w:lvlJc w:val="left"/>
      <w:pPr>
        <w:ind w:left="5040" w:hanging="360"/>
      </w:pPr>
      <w:rPr>
        <w:rFonts w:ascii="Symbol" w:hAnsi="Symbol" w:hint="default"/>
      </w:rPr>
    </w:lvl>
    <w:lvl w:ilvl="7" w:tplc="E00EF692" w:tentative="1">
      <w:start w:val="1"/>
      <w:numFmt w:val="bullet"/>
      <w:lvlText w:val="o"/>
      <w:lvlJc w:val="left"/>
      <w:pPr>
        <w:ind w:left="5760" w:hanging="360"/>
      </w:pPr>
      <w:rPr>
        <w:rFonts w:ascii="Courier New" w:hAnsi="Courier New" w:cs="Courier New" w:hint="default"/>
      </w:rPr>
    </w:lvl>
    <w:lvl w:ilvl="8" w:tplc="C0B4621C"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6B0"/>
    <w:rsid w:val="004C36B0"/>
    <w:rsid w:val="007A0E3A"/>
    <w:rsid w:val="008E627C"/>
    <w:rsid w:val="0098705E"/>
    <w:rsid w:val="00AF1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57005F-7796-45F3-BDA7-BA7CEACA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D3134F"/>
    <w:pPr>
      <w:keepNext/>
      <w:keepLines/>
      <w:spacing w:before="40" w:after="0" w:line="249" w:lineRule="auto"/>
      <w:ind w:left="542" w:hanging="542"/>
      <w:outlineLvl w:val="4"/>
    </w:pPr>
    <w:rPr>
      <w:rFonts w:asciiTheme="majorHAnsi" w:eastAsiaTheme="majorEastAsia" w:hAnsiTheme="majorHAnsi" w:cstheme="majorBidi"/>
      <w:color w:val="365F91" w:themeColor="accent1" w:themeShade="BF"/>
      <w:sz w:val="24"/>
      <w:szCs w:val="24"/>
      <w:lang w:eastAsia="en-GB"/>
    </w:rPr>
  </w:style>
  <w:style w:type="paragraph" w:styleId="Heading6">
    <w:name w:val="heading 6"/>
    <w:basedOn w:val="Normal"/>
    <w:next w:val="Normal"/>
    <w:link w:val="Heading6Char"/>
    <w:uiPriority w:val="9"/>
    <w:semiHidden/>
    <w:unhideWhenUsed/>
    <w:qFormat/>
    <w:rsid w:val="00D3134F"/>
    <w:pPr>
      <w:keepNext/>
      <w:keepLines/>
      <w:spacing w:before="40" w:after="0" w:line="249" w:lineRule="auto"/>
      <w:ind w:left="542" w:hanging="542"/>
      <w:outlineLvl w:val="5"/>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6A"/>
  </w:style>
  <w:style w:type="paragraph" w:styleId="Footer">
    <w:name w:val="footer"/>
    <w:basedOn w:val="Normal"/>
    <w:link w:val="FooterChar"/>
    <w:uiPriority w:val="99"/>
    <w:unhideWhenUsed/>
    <w:rsid w:val="0044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6A"/>
  </w:style>
  <w:style w:type="paragraph" w:styleId="ListParagraph">
    <w:name w:val="List Paragraph"/>
    <w:basedOn w:val="Normal"/>
    <w:uiPriority w:val="34"/>
    <w:qFormat/>
    <w:rsid w:val="00F41D53"/>
    <w:pPr>
      <w:ind w:left="720"/>
      <w:contextualSpacing/>
    </w:pPr>
  </w:style>
  <w:style w:type="paragraph" w:styleId="NoSpacing">
    <w:name w:val="No Spacing"/>
    <w:uiPriority w:val="1"/>
    <w:qFormat/>
    <w:rsid w:val="00ED346B"/>
    <w:pPr>
      <w:spacing w:after="0" w:line="240" w:lineRule="auto"/>
    </w:pPr>
    <w:rPr>
      <w:rFonts w:ascii="Arial" w:hAnsi="Arial"/>
      <w:sz w:val="24"/>
    </w:rPr>
  </w:style>
  <w:style w:type="character" w:customStyle="1" w:styleId="Heading5Char">
    <w:name w:val="Heading 5 Char"/>
    <w:basedOn w:val="DefaultParagraphFont"/>
    <w:link w:val="Heading5"/>
    <w:uiPriority w:val="9"/>
    <w:semiHidden/>
    <w:rsid w:val="00D3134F"/>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D3134F"/>
    <w:rPr>
      <w:rFonts w:asciiTheme="majorHAnsi" w:eastAsiaTheme="majorEastAsia" w:hAnsiTheme="majorHAnsi" w:cstheme="majorBidi"/>
      <w:color w:val="243F60" w:themeColor="accent1" w:themeShade="7F"/>
      <w:sz w:val="24"/>
      <w:szCs w:val="24"/>
      <w:lang w:eastAsia="en-GB"/>
    </w:rPr>
  </w:style>
  <w:style w:type="table" w:styleId="TableGrid">
    <w:name w:val="Table Grid"/>
    <w:basedOn w:val="TableNormal"/>
    <w:uiPriority w:val="39"/>
    <w:rsid w:val="00987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8D812-C84A-4E0A-85E1-50C72E917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Sage</dc:creator>
  <cp:lastModifiedBy>Tween, Holly</cp:lastModifiedBy>
  <cp:revision>11</cp:revision>
  <cp:lastPrinted>2015-01-28T14:27:00Z</cp:lastPrinted>
  <dcterms:created xsi:type="dcterms:W3CDTF">2015-03-30T10:11:00Z</dcterms:created>
  <dcterms:modified xsi:type="dcterms:W3CDTF">2018-02-13T10:15:00Z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CAGPMS">
    <vt:lpwstr>OFFICIAL</vt:lpwstr>
  </property>
  <property fmtid="{D5CDD505-2E9C-101B-9397-08002B2CF9AE}" pid="3" name="IssueTitle">
    <vt:lpwstr>Preston Western Distributor (including Cottam Link Road) and East West Link Road</vt:lpwstr>
  </property>
  <property fmtid="{D5CDD505-2E9C-101B-9397-08002B2CF9AE}" pid="4" name="LeadOfficer">
    <vt:lpwstr>Sarah Parry</vt:lpwstr>
  </property>
  <property fmtid="{D5CDD505-2E9C-101B-9397-08002B2CF9AE}" pid="5" name="LeadOfficerEmail">
    <vt:lpwstr>sarah.parry@lancashire.gov.uk</vt:lpwstr>
  </property>
  <property fmtid="{D5CDD505-2E9C-101B-9397-08002B2CF9AE}" pid="6" name="LeadOfficerTel">
    <vt:lpwstr>Tel: 01772 530615</vt:lpwstr>
  </property>
  <property fmtid="{D5CDD505-2E9C-101B-9397-08002B2CF9AE}" pid="7" name="MeetingDate">
    <vt:lpwstr>Monday, 19 February 2018</vt:lpwstr>
  </property>
  <property fmtid="{D5CDD505-2E9C-101B-9397-08002B2CF9AE}" pid="8" name="TitusGUID">
    <vt:lpwstr>b16076df-281e-485b-ac3b-6fbc29115d7d</vt:lpwstr>
  </property>
</Properties>
</file>